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>BEFORE THE PUBLIC SERVICE COMMISSION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>OF THE STATE OF MISSOURI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In the Matter of the Application of Grain Belt Express </w:t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Clean Line LLC for a Certificate of Convenience and </w:t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Necessity </w:t>
      </w:r>
      <w:proofErr w:type="gramStart"/>
      <w:r w:rsidRPr="00634324">
        <w:rPr>
          <w:rFonts w:ascii="Times New Roman" w:hAnsi="Times New Roman" w:cs="Times New Roman"/>
          <w:sz w:val="24"/>
          <w:szCs w:val="24"/>
        </w:rPr>
        <w:t>Authorizing</w:t>
      </w:r>
      <w:proofErr w:type="gramEnd"/>
      <w:r w:rsidRPr="00634324">
        <w:rPr>
          <w:rFonts w:ascii="Times New Roman" w:hAnsi="Times New Roman" w:cs="Times New Roman"/>
          <w:sz w:val="24"/>
          <w:szCs w:val="24"/>
        </w:rPr>
        <w:t xml:space="preserve"> it to Construct, Own, Operate, </w:t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Control, Manage, and Maintain a High Voltage, Direct </w:t>
      </w:r>
      <w:r w:rsidRPr="00634324">
        <w:rPr>
          <w:rFonts w:ascii="Times New Roman" w:hAnsi="Times New Roman" w:cs="Times New Roman"/>
          <w:sz w:val="24"/>
          <w:szCs w:val="24"/>
        </w:rPr>
        <w:tab/>
        <w:t xml:space="preserve">) </w:t>
      </w:r>
      <w:r w:rsidRPr="00634324">
        <w:rPr>
          <w:rFonts w:ascii="Times New Roman" w:hAnsi="Times New Roman" w:cs="Times New Roman"/>
          <w:sz w:val="24"/>
          <w:szCs w:val="24"/>
        </w:rPr>
        <w:tab/>
        <w:t>Case No. EA-2014-0207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Current Transmission Line and an Associated Converter </w:t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Station </w:t>
      </w:r>
      <w:proofErr w:type="gramStart"/>
      <w:r w:rsidRPr="00634324">
        <w:rPr>
          <w:rFonts w:ascii="Times New Roman" w:hAnsi="Times New Roman" w:cs="Times New Roman"/>
          <w:sz w:val="24"/>
          <w:szCs w:val="24"/>
        </w:rPr>
        <w:t>Providing</w:t>
      </w:r>
      <w:proofErr w:type="gramEnd"/>
      <w:r w:rsidRPr="00634324">
        <w:rPr>
          <w:rFonts w:ascii="Times New Roman" w:hAnsi="Times New Roman" w:cs="Times New Roman"/>
          <w:sz w:val="24"/>
          <w:szCs w:val="24"/>
        </w:rPr>
        <w:t xml:space="preserve"> an interconnection on the Maywood- </w:t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24">
        <w:rPr>
          <w:rFonts w:ascii="Times New Roman" w:hAnsi="Times New Roman" w:cs="Times New Roman"/>
          <w:sz w:val="24"/>
          <w:szCs w:val="24"/>
        </w:rPr>
        <w:t xml:space="preserve">Montgomery 345 kV Transmission Line </w:t>
      </w:r>
      <w:r w:rsidRPr="00634324">
        <w:rPr>
          <w:rFonts w:ascii="Times New Roman" w:hAnsi="Times New Roman" w:cs="Times New Roman"/>
          <w:sz w:val="24"/>
          <w:szCs w:val="24"/>
        </w:rPr>
        <w:tab/>
      </w:r>
      <w:r w:rsidRPr="00634324">
        <w:rPr>
          <w:rFonts w:ascii="Times New Roman" w:hAnsi="Times New Roman" w:cs="Times New Roman"/>
          <w:sz w:val="24"/>
          <w:szCs w:val="24"/>
        </w:rPr>
        <w:tab/>
      </w:r>
      <w:r w:rsidRPr="00634324">
        <w:rPr>
          <w:rFonts w:ascii="Times New Roman" w:hAnsi="Times New Roman" w:cs="Times New Roman"/>
          <w:sz w:val="24"/>
          <w:szCs w:val="24"/>
        </w:rPr>
        <w:tab/>
        <w:t>)</w:t>
      </w:r>
    </w:p>
    <w:p w:rsidR="00457867" w:rsidRPr="00634324" w:rsidRDefault="00457867" w:rsidP="0045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867" w:rsidRPr="00B14954" w:rsidRDefault="00B14954" w:rsidP="004578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954">
        <w:rPr>
          <w:rFonts w:ascii="Times New Roman" w:hAnsi="Times New Roman" w:cs="Times New Roman"/>
          <w:b/>
          <w:bCs/>
          <w:sz w:val="24"/>
          <w:szCs w:val="24"/>
        </w:rPr>
        <w:t>UNITED FOR MISSOURI’S RESPONSE</w:t>
      </w:r>
    </w:p>
    <w:p w:rsidR="00457867" w:rsidRPr="00B14954" w:rsidRDefault="00B14954" w:rsidP="004578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954">
        <w:rPr>
          <w:rFonts w:ascii="Times New Roman" w:hAnsi="Times New Roman" w:cs="Times New Roman"/>
          <w:b/>
          <w:bCs/>
          <w:sz w:val="24"/>
          <w:szCs w:val="24"/>
        </w:rPr>
        <w:t>TO GRAIN BELT EXPRESS CLEAN LINE LLC’S MOTION IN LIMINE</w:t>
      </w:r>
    </w:p>
    <w:p w:rsidR="00457867" w:rsidRPr="00634324" w:rsidRDefault="00457867" w:rsidP="00634324">
      <w:pPr>
        <w:spacing w:line="48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>COMES NOW United for Missouri, Inc. (“UFM”), and for its response to Grain Belt Express Clean Line LLC’s (</w:t>
      </w:r>
      <w:r w:rsidR="0095793B">
        <w:rPr>
          <w:rFonts w:ascii="Times New Roman" w:hAnsi="Times New Roman" w:cs="Times New Roman"/>
          <w:bCs/>
          <w:sz w:val="24"/>
          <w:szCs w:val="24"/>
        </w:rPr>
        <w:t>“</w:t>
      </w:r>
      <w:r w:rsidRPr="00634324">
        <w:rPr>
          <w:rFonts w:ascii="Times New Roman" w:hAnsi="Times New Roman" w:cs="Times New Roman"/>
          <w:bCs/>
          <w:sz w:val="24"/>
          <w:szCs w:val="24"/>
        </w:rPr>
        <w:t>Grain Belt</w:t>
      </w:r>
      <w:r w:rsidR="0095793B">
        <w:rPr>
          <w:rFonts w:ascii="Times New Roman" w:hAnsi="Times New Roman" w:cs="Times New Roman"/>
          <w:bCs/>
          <w:sz w:val="24"/>
          <w:szCs w:val="24"/>
        </w:rPr>
        <w:t>”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) Motion in </w:t>
      </w:r>
      <w:proofErr w:type="spellStart"/>
      <w:r w:rsidRPr="00634324">
        <w:rPr>
          <w:rFonts w:ascii="Times New Roman" w:hAnsi="Times New Roman" w:cs="Times New Roman"/>
          <w:bCs/>
          <w:sz w:val="24"/>
          <w:szCs w:val="24"/>
        </w:rPr>
        <w:t>Limine</w:t>
      </w:r>
      <w:proofErr w:type="spellEnd"/>
      <w:r w:rsidRPr="00634324">
        <w:rPr>
          <w:rFonts w:ascii="Times New Roman" w:hAnsi="Times New Roman" w:cs="Times New Roman"/>
          <w:bCs/>
          <w:sz w:val="24"/>
          <w:szCs w:val="24"/>
        </w:rPr>
        <w:t>, states as follows:</w:t>
      </w:r>
    </w:p>
    <w:p w:rsidR="00457867" w:rsidRPr="00634324" w:rsidRDefault="00457867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 xml:space="preserve">Grain Belt seeks an order in </w:t>
      </w:r>
      <w:proofErr w:type="spellStart"/>
      <w:r w:rsidRPr="00634324">
        <w:rPr>
          <w:rFonts w:ascii="Times New Roman" w:hAnsi="Times New Roman" w:cs="Times New Roman"/>
          <w:bCs/>
          <w:sz w:val="24"/>
          <w:szCs w:val="24"/>
        </w:rPr>
        <w:t>limine</w:t>
      </w:r>
      <w:proofErr w:type="spellEnd"/>
      <w:r w:rsidRPr="00634324">
        <w:rPr>
          <w:rFonts w:ascii="Times New Roman" w:hAnsi="Times New Roman" w:cs="Times New Roman"/>
          <w:bCs/>
          <w:sz w:val="24"/>
          <w:szCs w:val="24"/>
        </w:rPr>
        <w:t xml:space="preserve"> prohibiting any evidence or discussion of eminent domain.  Grain belt argues that any evidence or discussion of eminent domain is </w:t>
      </w:r>
      <w:r w:rsidR="000614D0" w:rsidRPr="00634324">
        <w:rPr>
          <w:rFonts w:ascii="Times New Roman" w:hAnsi="Times New Roman" w:cs="Times New Roman"/>
          <w:bCs/>
          <w:sz w:val="24"/>
          <w:szCs w:val="24"/>
        </w:rPr>
        <w:t>irrelevant to the issue of whether its proposed project “is necessary or convenient for the public service.”</w:t>
      </w:r>
    </w:p>
    <w:p w:rsidR="000614D0" w:rsidRPr="00634324" w:rsidRDefault="000614D0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>To make its argument, Grain Belt claims that the Commission has stated that it will apply five and only fi</w:t>
      </w:r>
      <w:r w:rsidR="004B765E">
        <w:rPr>
          <w:rFonts w:ascii="Times New Roman" w:hAnsi="Times New Roman" w:cs="Times New Roman"/>
          <w:bCs/>
          <w:sz w:val="24"/>
          <w:szCs w:val="24"/>
        </w:rPr>
        <w:t xml:space="preserve">ve criteria in cases regarding </w:t>
      </w:r>
      <w:r w:rsidRPr="00634324">
        <w:rPr>
          <w:rFonts w:ascii="Times New Roman" w:hAnsi="Times New Roman" w:cs="Times New Roman"/>
          <w:bCs/>
          <w:sz w:val="24"/>
          <w:szCs w:val="24"/>
        </w:rPr>
        <w:t>applications</w:t>
      </w:r>
      <w:r w:rsidR="004B765E">
        <w:rPr>
          <w:rFonts w:ascii="Times New Roman" w:hAnsi="Times New Roman" w:cs="Times New Roman"/>
          <w:bCs/>
          <w:sz w:val="24"/>
          <w:szCs w:val="24"/>
        </w:rPr>
        <w:t xml:space="preserve"> for Certificates of Convenience and Necessity (“CCN”) (“Tartan factors”), 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criteria stated in </w:t>
      </w:r>
      <w:r w:rsidRPr="004B765E">
        <w:rPr>
          <w:rFonts w:ascii="Times New Roman" w:hAnsi="Times New Roman" w:cs="Times New Roman"/>
          <w:bCs/>
          <w:i/>
          <w:sz w:val="24"/>
          <w:szCs w:val="24"/>
        </w:rPr>
        <w:t>In re Tartan Energy Co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., No. GA-94-127, </w:t>
      </w:r>
      <w:r w:rsidRPr="0095793B">
        <w:rPr>
          <w:rFonts w:ascii="Times New Roman" w:hAnsi="Times New Roman" w:cs="Times New Roman"/>
          <w:bCs/>
          <w:i/>
          <w:sz w:val="24"/>
          <w:szCs w:val="24"/>
        </w:rPr>
        <w:t>Order Granting Certificate of Convenience and Necessity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 (September 16, 1994).  Evidence that does not relate to any such factors is therefore irrelevant and must be excluded.</w:t>
      </w:r>
    </w:p>
    <w:p w:rsidR="000614D0" w:rsidRPr="00634324" w:rsidRDefault="000614D0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 xml:space="preserve">Grain Belt further argues that the Commission has declared that it cannot decide any </w:t>
      </w:r>
      <w:r w:rsidR="00FF67BC" w:rsidRPr="00634324">
        <w:rPr>
          <w:rFonts w:ascii="Times New Roman" w:hAnsi="Times New Roman" w:cs="Times New Roman"/>
          <w:bCs/>
          <w:sz w:val="24"/>
          <w:szCs w:val="24"/>
        </w:rPr>
        <w:t>questions about eminent domain</w:t>
      </w:r>
      <w:r w:rsidRPr="00634324">
        <w:rPr>
          <w:rFonts w:ascii="Times New Roman" w:hAnsi="Times New Roman" w:cs="Times New Roman"/>
          <w:bCs/>
          <w:sz w:val="24"/>
          <w:szCs w:val="24"/>
        </w:rPr>
        <w:t>, as it declared in its many public hearings in this case.  Therefore, such evidence is irrelevant.</w:t>
      </w:r>
    </w:p>
    <w:p w:rsidR="000614D0" w:rsidRPr="00634324" w:rsidRDefault="00CD3A61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Grain Belt has over-</w:t>
      </w:r>
      <w:r w:rsidR="000614D0" w:rsidRPr="00634324">
        <w:rPr>
          <w:rFonts w:ascii="Times New Roman" w:hAnsi="Times New Roman" w:cs="Times New Roman"/>
          <w:bCs/>
          <w:sz w:val="24"/>
          <w:szCs w:val="24"/>
        </w:rPr>
        <w:t>stated the usefulness of Tartan factors</w:t>
      </w:r>
      <w:r w:rsidR="000C16DF" w:rsidRPr="00634324">
        <w:rPr>
          <w:rFonts w:ascii="Times New Roman" w:hAnsi="Times New Roman" w:cs="Times New Roman"/>
          <w:bCs/>
          <w:sz w:val="24"/>
          <w:szCs w:val="24"/>
        </w:rPr>
        <w:t xml:space="preserve"> and has misconstrued the purpose of the Commission’s declaration on its ability to decide</w:t>
      </w:r>
      <w:r w:rsidR="00FF67BC" w:rsidRPr="00634324">
        <w:rPr>
          <w:rFonts w:ascii="Times New Roman" w:hAnsi="Times New Roman" w:cs="Times New Roman"/>
          <w:bCs/>
          <w:sz w:val="24"/>
          <w:szCs w:val="24"/>
        </w:rPr>
        <w:t xml:space="preserve"> questions about eminent domain</w:t>
      </w:r>
      <w:r w:rsidR="000C16DF" w:rsidRPr="00634324">
        <w:rPr>
          <w:rFonts w:ascii="Times New Roman" w:hAnsi="Times New Roman" w:cs="Times New Roman"/>
          <w:bCs/>
          <w:sz w:val="24"/>
          <w:szCs w:val="24"/>
        </w:rPr>
        <w:t>.</w:t>
      </w:r>
    </w:p>
    <w:p w:rsidR="00084193" w:rsidRDefault="000C16DF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Commission’s inquiry into what “is necessary or convenient for the public service” in an application for a CCN is not limited to the five factors expressed in </w:t>
      </w:r>
      <w:r w:rsidRPr="004B765E">
        <w:rPr>
          <w:rFonts w:ascii="Times New Roman" w:hAnsi="Times New Roman" w:cs="Times New Roman"/>
          <w:bCs/>
          <w:i/>
          <w:sz w:val="24"/>
          <w:szCs w:val="24"/>
        </w:rPr>
        <w:t>Tartan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, and it is a disservice to the public to so limit the Commission’s inquiry.  </w:t>
      </w:r>
      <w:r w:rsidR="00084193">
        <w:rPr>
          <w:rFonts w:ascii="Times New Roman" w:hAnsi="Times New Roman" w:cs="Times New Roman"/>
          <w:bCs/>
          <w:sz w:val="24"/>
          <w:szCs w:val="24"/>
        </w:rPr>
        <w:t xml:space="preserve">The Tartan factors are a helpful tool but not </w:t>
      </w:r>
      <w:r w:rsidR="0095793B">
        <w:rPr>
          <w:rFonts w:ascii="Times New Roman" w:hAnsi="Times New Roman" w:cs="Times New Roman"/>
          <w:bCs/>
          <w:sz w:val="24"/>
          <w:szCs w:val="24"/>
        </w:rPr>
        <w:t>a</w:t>
      </w:r>
      <w:r w:rsidR="00084193">
        <w:rPr>
          <w:rFonts w:ascii="Times New Roman" w:hAnsi="Times New Roman" w:cs="Times New Roman"/>
          <w:bCs/>
          <w:sz w:val="24"/>
          <w:szCs w:val="24"/>
        </w:rPr>
        <w:t xml:space="preserve"> legislated exclusive standard.  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5624D0">
        <w:rPr>
          <w:rFonts w:ascii="Times New Roman" w:hAnsi="Times New Roman" w:cs="Times New Roman"/>
          <w:bCs/>
          <w:i/>
          <w:sz w:val="24"/>
          <w:szCs w:val="24"/>
        </w:rPr>
        <w:t>State ex rel. Public Water Supply Dist. No. 8 of Jefferson County v. Public Service Commission</w:t>
      </w:r>
      <w:r w:rsidRPr="00634324">
        <w:rPr>
          <w:rFonts w:ascii="Times New Roman" w:hAnsi="Times New Roman" w:cs="Times New Roman"/>
          <w:bCs/>
          <w:sz w:val="24"/>
          <w:szCs w:val="24"/>
        </w:rPr>
        <w:t>,</w:t>
      </w:r>
      <w:r w:rsidRPr="00634324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 the Court declared that, “The determination of what is necessary and convenient has long been, and continues to be, a matter of debate.”</w:t>
      </w:r>
      <w:r w:rsidRPr="00634324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84193">
        <w:rPr>
          <w:rFonts w:ascii="Times New Roman" w:hAnsi="Times New Roman" w:cs="Times New Roman"/>
          <w:bCs/>
          <w:sz w:val="24"/>
          <w:szCs w:val="24"/>
        </w:rPr>
        <w:t xml:space="preserve">The Court referred, with approval, </w:t>
      </w:r>
      <w:r w:rsidR="0095793B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084193">
        <w:rPr>
          <w:rFonts w:ascii="Times New Roman" w:hAnsi="Times New Roman" w:cs="Times New Roman"/>
          <w:bCs/>
          <w:sz w:val="24"/>
          <w:szCs w:val="24"/>
        </w:rPr>
        <w:t xml:space="preserve">an observation that, </w:t>
      </w:r>
    </w:p>
    <w:p w:rsidR="00084193" w:rsidRDefault="00084193" w:rsidP="00084193">
      <w:pPr>
        <w:pStyle w:val="ListParagraph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controlling factor is the public interest and such interest is a matter of policy to be determined by the Commission.  It is suggested that such an approach applies a balancing process, giving weight to adequacy of service and desirability of competition.  It is suggested by such an approach that adequacy or inadequacy of a facility alone is not determinative . . . .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0C16DF" w:rsidRPr="00084193" w:rsidRDefault="00084193" w:rsidP="00084193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94A56" w:rsidRPr="00084193">
        <w:rPr>
          <w:rFonts w:ascii="Times New Roman" w:hAnsi="Times New Roman" w:cs="Times New Roman"/>
          <w:bCs/>
          <w:sz w:val="24"/>
          <w:szCs w:val="24"/>
        </w:rPr>
        <w:t xml:space="preserve">Commission </w:t>
      </w:r>
      <w:r>
        <w:rPr>
          <w:rFonts w:ascii="Times New Roman" w:hAnsi="Times New Roman" w:cs="Times New Roman"/>
          <w:bCs/>
          <w:sz w:val="24"/>
          <w:szCs w:val="24"/>
        </w:rPr>
        <w:t xml:space="preserve">is not limited in its deliberations to the straight jacket of the five </w:t>
      </w:r>
      <w:r w:rsidR="00C94A56" w:rsidRPr="00084193">
        <w:rPr>
          <w:rFonts w:ascii="Times New Roman" w:hAnsi="Times New Roman" w:cs="Times New Roman"/>
          <w:bCs/>
          <w:sz w:val="24"/>
          <w:szCs w:val="24"/>
        </w:rPr>
        <w:t>Tartan factors</w:t>
      </w:r>
      <w:r w:rsidR="0095793B">
        <w:rPr>
          <w:rFonts w:ascii="Times New Roman" w:hAnsi="Times New Roman" w:cs="Times New Roman"/>
          <w:bCs/>
          <w:sz w:val="24"/>
          <w:szCs w:val="24"/>
        </w:rPr>
        <w:t xml:space="preserve"> as suggested by Grain Belt</w:t>
      </w:r>
      <w:r w:rsidR="00C94A56" w:rsidRPr="000841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94A56" w:rsidRPr="00634324" w:rsidRDefault="00C94A56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>While the Commission is not called upon to condemn land in this proceedi</w:t>
      </w:r>
      <w:r w:rsidR="00FF67BC" w:rsidRPr="00634324">
        <w:rPr>
          <w:rFonts w:ascii="Times New Roman" w:hAnsi="Times New Roman" w:cs="Times New Roman"/>
          <w:bCs/>
          <w:sz w:val="24"/>
          <w:szCs w:val="24"/>
        </w:rPr>
        <w:t>ng, the issue of eminent domain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95793B">
        <w:rPr>
          <w:rFonts w:ascii="Times New Roman" w:hAnsi="Times New Roman" w:cs="Times New Roman"/>
          <w:bCs/>
          <w:sz w:val="24"/>
          <w:szCs w:val="24"/>
        </w:rPr>
        <w:t xml:space="preserve">of significant </w:t>
      </w:r>
      <w:r w:rsidRPr="00634324">
        <w:rPr>
          <w:rFonts w:ascii="Times New Roman" w:hAnsi="Times New Roman" w:cs="Times New Roman"/>
          <w:bCs/>
          <w:sz w:val="24"/>
          <w:szCs w:val="24"/>
        </w:rPr>
        <w:t>relevan</w:t>
      </w:r>
      <w:r w:rsidR="0095793B">
        <w:rPr>
          <w:rFonts w:ascii="Times New Roman" w:hAnsi="Times New Roman" w:cs="Times New Roman"/>
          <w:bCs/>
          <w:sz w:val="24"/>
          <w:szCs w:val="24"/>
        </w:rPr>
        <w:t>ce</w:t>
      </w:r>
      <w:r w:rsidR="00FF67BC" w:rsidRPr="00634324">
        <w:rPr>
          <w:rFonts w:ascii="Times New Roman" w:hAnsi="Times New Roman" w:cs="Times New Roman"/>
          <w:bCs/>
          <w:sz w:val="24"/>
          <w:szCs w:val="24"/>
        </w:rPr>
        <w:t>.  The issuance of a CCN is a precursor to the condemnation of private property.  The right of eminent domain</w:t>
      </w:r>
      <w:r w:rsidRPr="00634324">
        <w:rPr>
          <w:rFonts w:ascii="Times New Roman" w:hAnsi="Times New Roman" w:cs="Times New Roman"/>
          <w:bCs/>
          <w:sz w:val="24"/>
          <w:szCs w:val="24"/>
        </w:rPr>
        <w:t xml:space="preserve"> is granted to electrical corporations pursuant to section 523.010 of the Revised Statues of Missouri.</w:t>
      </w:r>
      <w:r w:rsidR="00983A7C" w:rsidRPr="006343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B765E">
        <w:rPr>
          <w:rFonts w:ascii="Times New Roman" w:hAnsi="Times New Roman" w:cs="Times New Roman"/>
          <w:bCs/>
          <w:sz w:val="24"/>
          <w:szCs w:val="24"/>
        </w:rPr>
        <w:t xml:space="preserve">However, </w:t>
      </w:r>
      <w:r w:rsidR="00983A7C" w:rsidRPr="00634324">
        <w:rPr>
          <w:rFonts w:ascii="Times New Roman" w:hAnsi="Times New Roman" w:cs="Times New Roman"/>
          <w:bCs/>
          <w:sz w:val="24"/>
          <w:szCs w:val="24"/>
        </w:rPr>
        <w:t xml:space="preserve">Article 1, Section 28, of the Missouri Constitution prohibits the taking </w:t>
      </w:r>
      <w:r w:rsidR="00673EA4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983A7C" w:rsidRPr="00634324">
        <w:rPr>
          <w:rFonts w:ascii="Times New Roman" w:hAnsi="Times New Roman" w:cs="Times New Roman"/>
          <w:bCs/>
          <w:sz w:val="24"/>
          <w:szCs w:val="24"/>
        </w:rPr>
        <w:t>private property for private use under any circumstances.</w:t>
      </w:r>
      <w:r w:rsidR="00FF67BC" w:rsidRPr="00634324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="00983A7C" w:rsidRPr="00634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65E">
        <w:rPr>
          <w:rFonts w:ascii="Times New Roman" w:hAnsi="Times New Roman" w:cs="Times New Roman"/>
          <w:bCs/>
          <w:sz w:val="24"/>
          <w:szCs w:val="24"/>
        </w:rPr>
        <w:t xml:space="preserve"> Section 28 also provides, </w:t>
      </w:r>
      <w:r w:rsidR="00FF67BC" w:rsidRPr="00634324">
        <w:rPr>
          <w:rFonts w:ascii="Times New Roman" w:hAnsi="Times New Roman" w:cs="Times New Roman"/>
          <w:bCs/>
          <w:sz w:val="24"/>
          <w:szCs w:val="24"/>
        </w:rPr>
        <w:t>“</w:t>
      </w:r>
      <w:r w:rsidR="00FF67BC" w:rsidRPr="00634324">
        <w:rPr>
          <w:rFonts w:ascii="Times New Roman" w:hAnsi="Times New Roman" w:cs="Times New Roman"/>
          <w:sz w:val="24"/>
          <w:szCs w:val="24"/>
        </w:rPr>
        <w:t xml:space="preserve">when an attempt is made to take private property for a use alleged to be public, the question whether the contemplated use be public shall be judicially determined without regard to any legislative declaration that the use is public.”  </w:t>
      </w:r>
      <w:r w:rsidR="00FF67BC" w:rsidRPr="00634324">
        <w:rPr>
          <w:rFonts w:ascii="Times New Roman" w:hAnsi="Times New Roman" w:cs="Times New Roman"/>
          <w:sz w:val="24"/>
          <w:szCs w:val="24"/>
        </w:rPr>
        <w:lastRenderedPageBreak/>
        <w:t xml:space="preserve">Inasmuch as a core issue in this proceeding is the character of service provided by the project, the necessity and convenience of the project to the “public service,” </w:t>
      </w:r>
      <w:r w:rsidR="0095793B">
        <w:rPr>
          <w:rFonts w:ascii="Times New Roman" w:hAnsi="Times New Roman" w:cs="Times New Roman"/>
          <w:sz w:val="24"/>
          <w:szCs w:val="24"/>
        </w:rPr>
        <w:t xml:space="preserve">as opposed to a private use, </w:t>
      </w:r>
      <w:r w:rsidR="00FF67BC" w:rsidRPr="00634324">
        <w:rPr>
          <w:rFonts w:ascii="Times New Roman" w:hAnsi="Times New Roman" w:cs="Times New Roman"/>
          <w:sz w:val="24"/>
          <w:szCs w:val="24"/>
        </w:rPr>
        <w:t>the potential use of eminent domain is of utmost relevance to these proceedings.</w:t>
      </w:r>
      <w:r w:rsidR="00CC17F1" w:rsidRPr="00634324">
        <w:rPr>
          <w:rFonts w:ascii="Times New Roman" w:hAnsi="Times New Roman" w:cs="Times New Roman"/>
          <w:sz w:val="24"/>
          <w:szCs w:val="24"/>
        </w:rPr>
        <w:t xml:space="preserve">  The Commission has recognized that it must address potential legal issues </w:t>
      </w:r>
      <w:r w:rsidR="00673EA4">
        <w:rPr>
          <w:rFonts w:ascii="Times New Roman" w:hAnsi="Times New Roman" w:cs="Times New Roman"/>
          <w:sz w:val="24"/>
          <w:szCs w:val="24"/>
        </w:rPr>
        <w:t xml:space="preserve">arising from its actions </w:t>
      </w:r>
      <w:r w:rsidR="00CC17F1" w:rsidRPr="00634324">
        <w:rPr>
          <w:rFonts w:ascii="Times New Roman" w:hAnsi="Times New Roman" w:cs="Times New Roman"/>
          <w:sz w:val="24"/>
          <w:szCs w:val="24"/>
        </w:rPr>
        <w:t>as one of the many factors inherent in a public interest determination.</w:t>
      </w:r>
      <w:r w:rsidR="00CC17F1" w:rsidRPr="0063432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95793B">
        <w:rPr>
          <w:rFonts w:ascii="Times New Roman" w:hAnsi="Times New Roman" w:cs="Times New Roman"/>
          <w:sz w:val="24"/>
          <w:szCs w:val="24"/>
        </w:rPr>
        <w:t xml:space="preserve">  This is one such relevant issue.</w:t>
      </w:r>
    </w:p>
    <w:p w:rsidR="00FF67BC" w:rsidRPr="00634324" w:rsidRDefault="00FF67BC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634324">
        <w:rPr>
          <w:rFonts w:ascii="Times New Roman" w:hAnsi="Times New Roman" w:cs="Times New Roman"/>
          <w:bCs/>
          <w:sz w:val="24"/>
          <w:szCs w:val="24"/>
        </w:rPr>
        <w:t xml:space="preserve">Further, </w:t>
      </w:r>
      <w:r w:rsidR="00CC17F1" w:rsidRPr="00634324">
        <w:rPr>
          <w:rFonts w:ascii="Times New Roman" w:hAnsi="Times New Roman" w:cs="Times New Roman"/>
          <w:bCs/>
          <w:sz w:val="24"/>
          <w:szCs w:val="24"/>
        </w:rPr>
        <w:t>the possibility that Grain Belt will use eminent domain to take private property rights is at the very core of the “public interest” determination expressed in the Tartan factors.</w:t>
      </w:r>
      <w:r w:rsidR="004B765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C17F1" w:rsidRPr="00634324">
        <w:rPr>
          <w:rFonts w:ascii="Times New Roman" w:hAnsi="Times New Roman" w:cs="Times New Roman"/>
          <w:bCs/>
          <w:sz w:val="24"/>
          <w:szCs w:val="24"/>
        </w:rPr>
        <w:t xml:space="preserve">Land </w:t>
      </w:r>
      <w:r w:rsidR="0095793B">
        <w:rPr>
          <w:rFonts w:ascii="Times New Roman" w:hAnsi="Times New Roman" w:cs="Times New Roman"/>
          <w:bCs/>
          <w:sz w:val="24"/>
          <w:szCs w:val="24"/>
        </w:rPr>
        <w:t xml:space="preserve">rights and </w:t>
      </w:r>
      <w:r w:rsidR="00CC17F1" w:rsidRPr="00634324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 w:rsidR="00B729AB">
        <w:rPr>
          <w:rFonts w:ascii="Times New Roman" w:hAnsi="Times New Roman" w:cs="Times New Roman"/>
          <w:bCs/>
          <w:sz w:val="24"/>
          <w:szCs w:val="24"/>
        </w:rPr>
        <w:t>are</w:t>
      </w:r>
      <w:r w:rsidR="00DC43E0" w:rsidRPr="00634324">
        <w:rPr>
          <w:rFonts w:ascii="Times New Roman" w:hAnsi="Times New Roman" w:cs="Times New Roman"/>
          <w:bCs/>
          <w:sz w:val="24"/>
          <w:szCs w:val="24"/>
        </w:rPr>
        <w:t xml:space="preserve"> legitimate factor</w:t>
      </w:r>
      <w:r w:rsidR="00B729AB">
        <w:rPr>
          <w:rFonts w:ascii="Times New Roman" w:hAnsi="Times New Roman" w:cs="Times New Roman"/>
          <w:bCs/>
          <w:sz w:val="24"/>
          <w:szCs w:val="24"/>
        </w:rPr>
        <w:t>s</w:t>
      </w:r>
      <w:r w:rsidR="00DC43E0" w:rsidRPr="00634324">
        <w:rPr>
          <w:rFonts w:ascii="Times New Roman" w:hAnsi="Times New Roman" w:cs="Times New Roman"/>
          <w:bCs/>
          <w:sz w:val="24"/>
          <w:szCs w:val="24"/>
        </w:rPr>
        <w:t xml:space="preserve"> in any public interest determination.</w:t>
      </w:r>
      <w:r w:rsidR="00DC43E0" w:rsidRPr="00634324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6"/>
      </w:r>
      <w:r w:rsidR="00DC43E0" w:rsidRPr="0063432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B4A64" w:rsidRDefault="009B4A64" w:rsidP="009B4A6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Grain Belt itself introduced evidence on eminent domain in its own direct testimony.  Grain Belt witness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Lawlor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states, at page 21 of his Direct Testimony:</w:t>
      </w:r>
    </w:p>
    <w:p w:rsidR="009B4A64" w:rsidRDefault="009B4A64" w:rsidP="009B4A6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4A64">
        <w:rPr>
          <w:rFonts w:ascii="Times New Roman" w:hAnsi="Times New Roman" w:cs="Times New Roman"/>
          <w:sz w:val="24"/>
          <w:szCs w:val="24"/>
        </w:rPr>
        <w:t>Grain Belt Express prefers to acquire all of the rights-of-way through voluntary transactions negotiated in good faith. Grain Belt Express will not seek to exercise eminent domain authority on a parcel of property unless and until it has exhausted reasonable efforts to acquire transmission line easements through voluntarily negotiated agreements.</w:t>
      </w:r>
    </w:p>
    <w:p w:rsidR="009B4A64" w:rsidRPr="009B4A64" w:rsidRDefault="009B4A64" w:rsidP="009B4A6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 submitting this evidence, Grain Belt itself clearly indicated that it believes the issue of eminent domain is relevant to this proceeding and waived its right to argue otherwise.</w:t>
      </w:r>
    </w:p>
    <w:p w:rsidR="00634324" w:rsidRDefault="00634324" w:rsidP="00634324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Regarding Judge Bushman’s statements </w:t>
      </w:r>
      <w:r w:rsidR="00184D48">
        <w:rPr>
          <w:rFonts w:ascii="Times New Roman" w:hAnsi="Times New Roman" w:cs="Times New Roman"/>
          <w:bCs/>
          <w:sz w:val="24"/>
          <w:szCs w:val="24"/>
        </w:rPr>
        <w:t xml:space="preserve">on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scope of the public hearing, it </w:t>
      </w:r>
      <w:r w:rsidR="00184D48">
        <w:rPr>
          <w:rFonts w:ascii="Times New Roman" w:hAnsi="Times New Roman" w:cs="Times New Roman"/>
          <w:bCs/>
          <w:sz w:val="24"/>
          <w:szCs w:val="24"/>
        </w:rPr>
        <w:t>was</w:t>
      </w:r>
      <w:r>
        <w:rPr>
          <w:rFonts w:ascii="Times New Roman" w:hAnsi="Times New Roman" w:cs="Times New Roman"/>
          <w:bCs/>
          <w:sz w:val="24"/>
          <w:szCs w:val="24"/>
        </w:rPr>
        <w:t xml:space="preserve"> clearly appropriate for the judge to advise the audience that the Commission is not the proper authority to decide particular issues of eminent domain, </w:t>
      </w:r>
      <w:r w:rsidR="00184D48">
        <w:rPr>
          <w:rFonts w:ascii="Times New Roman" w:hAnsi="Times New Roman" w:cs="Times New Roman"/>
          <w:bCs/>
          <w:sz w:val="24"/>
          <w:szCs w:val="24"/>
        </w:rPr>
        <w:t>i.e.</w:t>
      </w:r>
      <w:r>
        <w:rPr>
          <w:rFonts w:ascii="Times New Roman" w:hAnsi="Times New Roman" w:cs="Times New Roman"/>
          <w:bCs/>
          <w:sz w:val="24"/>
          <w:szCs w:val="24"/>
        </w:rPr>
        <w:t xml:space="preserve"> what property might be taken or what compensation would be due.  </w:t>
      </w:r>
      <w:r w:rsidR="00184D48">
        <w:rPr>
          <w:rFonts w:ascii="Times New Roman" w:hAnsi="Times New Roman" w:cs="Times New Roman"/>
          <w:bCs/>
          <w:sz w:val="24"/>
          <w:szCs w:val="24"/>
        </w:rPr>
        <w:t xml:space="preserve">Such determinations must be left to the court on a case by case basis. 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does not mean that the proposed use of eminent domain is not a factor in determining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whether the grant of a CCN is in the public interest.  Whether eminent domain </w:t>
      </w:r>
      <w:r w:rsidR="00184D48">
        <w:rPr>
          <w:rFonts w:ascii="Times New Roman" w:hAnsi="Times New Roman" w:cs="Times New Roman"/>
          <w:bCs/>
          <w:sz w:val="24"/>
          <w:szCs w:val="24"/>
        </w:rPr>
        <w:t xml:space="preserve">will be used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this project and </w:t>
      </w:r>
      <w:r w:rsidR="00184D48">
        <w:rPr>
          <w:rFonts w:ascii="Times New Roman" w:hAnsi="Times New Roman" w:cs="Times New Roman"/>
          <w:bCs/>
          <w:sz w:val="24"/>
          <w:szCs w:val="24"/>
        </w:rPr>
        <w:t xml:space="preserve">how such use will </w:t>
      </w:r>
      <w:r>
        <w:rPr>
          <w:rFonts w:ascii="Times New Roman" w:hAnsi="Times New Roman" w:cs="Times New Roman"/>
          <w:bCs/>
          <w:sz w:val="24"/>
          <w:szCs w:val="24"/>
        </w:rPr>
        <w:t xml:space="preserve">compromise private property rights are clearly </w:t>
      </w:r>
      <w:r w:rsidR="00B729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ssue</w:t>
      </w:r>
      <w:r w:rsidR="00B729AB">
        <w:rPr>
          <w:rFonts w:ascii="Times New Roman" w:hAnsi="Times New Roman" w:cs="Times New Roman"/>
          <w:bCs/>
          <w:sz w:val="24"/>
          <w:szCs w:val="24"/>
        </w:rPr>
        <w:t xml:space="preserve">s relevant to the determination of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public interest </w:t>
      </w:r>
      <w:r w:rsidR="00B729AB">
        <w:rPr>
          <w:rFonts w:ascii="Times New Roman" w:hAnsi="Times New Roman" w:cs="Times New Roman"/>
          <w:bCs/>
          <w:sz w:val="24"/>
          <w:szCs w:val="24"/>
        </w:rPr>
        <w:t>in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 case.</w:t>
      </w:r>
    </w:p>
    <w:p w:rsidR="00A67857" w:rsidRDefault="00184D48" w:rsidP="00FA4337">
      <w:pPr>
        <w:pStyle w:val="ListParagraph"/>
        <w:numPr>
          <w:ilvl w:val="0"/>
          <w:numId w:val="1"/>
        </w:numPr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A67857">
        <w:rPr>
          <w:rFonts w:ascii="Times New Roman" w:hAnsi="Times New Roman" w:cs="Times New Roman"/>
          <w:bCs/>
          <w:sz w:val="24"/>
          <w:szCs w:val="24"/>
        </w:rPr>
        <w:t xml:space="preserve">The Commission has a unique case before it with this application for a CCN.  Grain Belt is not a typical electrical corporation, if it is an electrical corporation at all.  Grain Belt seeks to build a “merchant” transmission project.  It does not propose to serve the general public in that it will </w:t>
      </w:r>
      <w:r w:rsidR="00B729AB">
        <w:rPr>
          <w:rFonts w:ascii="Times New Roman" w:hAnsi="Times New Roman" w:cs="Times New Roman"/>
          <w:bCs/>
          <w:sz w:val="24"/>
          <w:szCs w:val="24"/>
        </w:rPr>
        <w:t>not</w:t>
      </w:r>
      <w:r w:rsidRPr="00A67857">
        <w:rPr>
          <w:rFonts w:ascii="Times New Roman" w:hAnsi="Times New Roman" w:cs="Times New Roman"/>
          <w:bCs/>
          <w:sz w:val="24"/>
          <w:szCs w:val="24"/>
        </w:rPr>
        <w:t xml:space="preserve"> provide service to any customer</w:t>
      </w:r>
      <w:r w:rsidR="00CD3A61">
        <w:rPr>
          <w:rFonts w:ascii="Times New Roman" w:hAnsi="Times New Roman" w:cs="Times New Roman"/>
          <w:bCs/>
          <w:sz w:val="24"/>
          <w:szCs w:val="24"/>
        </w:rPr>
        <w:t>s</w:t>
      </w:r>
      <w:r w:rsidRPr="00A67857">
        <w:rPr>
          <w:rFonts w:ascii="Times New Roman" w:hAnsi="Times New Roman" w:cs="Times New Roman"/>
          <w:bCs/>
          <w:sz w:val="24"/>
          <w:szCs w:val="24"/>
        </w:rPr>
        <w:t xml:space="preserve"> that seeks </w:t>
      </w:r>
      <w:r w:rsidR="00CD3A61">
        <w:rPr>
          <w:rFonts w:ascii="Times New Roman" w:hAnsi="Times New Roman" w:cs="Times New Roman"/>
          <w:bCs/>
          <w:sz w:val="24"/>
          <w:szCs w:val="24"/>
        </w:rPr>
        <w:t xml:space="preserve">retail </w:t>
      </w:r>
      <w:r w:rsidRPr="00A67857">
        <w:rPr>
          <w:rFonts w:ascii="Times New Roman" w:hAnsi="Times New Roman" w:cs="Times New Roman"/>
          <w:bCs/>
          <w:sz w:val="24"/>
          <w:szCs w:val="24"/>
        </w:rPr>
        <w:t xml:space="preserve">electric </w:t>
      </w:r>
      <w:r w:rsidR="00CD3A61">
        <w:rPr>
          <w:rFonts w:ascii="Times New Roman" w:hAnsi="Times New Roman" w:cs="Times New Roman"/>
          <w:bCs/>
          <w:sz w:val="24"/>
          <w:szCs w:val="24"/>
        </w:rPr>
        <w:t>services</w:t>
      </w:r>
      <w:r w:rsidRPr="00A67857">
        <w:rPr>
          <w:rFonts w:ascii="Times New Roman" w:hAnsi="Times New Roman" w:cs="Times New Roman"/>
          <w:bCs/>
          <w:sz w:val="24"/>
          <w:szCs w:val="24"/>
        </w:rPr>
        <w:t xml:space="preserve">.  Rather, it seeks to sell its services to a select few wind generators and/or wholesale customers.  This is not the paradigm for which the CCN was designed and certainly not the paradigm for which the Tartan factors were developed.  </w:t>
      </w:r>
      <w:r w:rsidR="00A67857" w:rsidRPr="00A67857">
        <w:rPr>
          <w:rFonts w:ascii="Times New Roman" w:hAnsi="Times New Roman" w:cs="Times New Roman"/>
          <w:bCs/>
          <w:sz w:val="24"/>
          <w:szCs w:val="24"/>
        </w:rPr>
        <w:t xml:space="preserve">The Commission has been placed in the position of balancing the rights of this new endeavor against private property rights </w:t>
      </w:r>
      <w:r w:rsidR="00B729AB">
        <w:rPr>
          <w:rFonts w:ascii="Times New Roman" w:hAnsi="Times New Roman" w:cs="Times New Roman"/>
          <w:bCs/>
          <w:sz w:val="24"/>
          <w:szCs w:val="24"/>
        </w:rPr>
        <w:t>in</w:t>
      </w:r>
      <w:r w:rsidR="00A67857" w:rsidRPr="00A67857">
        <w:rPr>
          <w:rFonts w:ascii="Times New Roman" w:hAnsi="Times New Roman" w:cs="Times New Roman"/>
          <w:bCs/>
          <w:sz w:val="24"/>
          <w:szCs w:val="24"/>
        </w:rPr>
        <w:t xml:space="preserve"> land that have resided with families for generations.  </w:t>
      </w:r>
      <w:r w:rsidR="00A67857">
        <w:rPr>
          <w:rFonts w:ascii="Times New Roman" w:hAnsi="Times New Roman" w:cs="Times New Roman"/>
          <w:bCs/>
          <w:sz w:val="24"/>
          <w:szCs w:val="24"/>
        </w:rPr>
        <w:t xml:space="preserve">The Constitution of the state of Missouri protects private property rights against takings for private use.  The Commission must tread lightly when its actions </w:t>
      </w:r>
      <w:r w:rsidR="00CD3A61">
        <w:rPr>
          <w:rFonts w:ascii="Times New Roman" w:hAnsi="Times New Roman" w:cs="Times New Roman"/>
          <w:bCs/>
          <w:sz w:val="24"/>
          <w:szCs w:val="24"/>
        </w:rPr>
        <w:t xml:space="preserve">regarding services it may have no authority to authorize </w:t>
      </w:r>
      <w:r w:rsidR="00A67857">
        <w:rPr>
          <w:rFonts w:ascii="Times New Roman" w:hAnsi="Times New Roman" w:cs="Times New Roman"/>
          <w:bCs/>
          <w:sz w:val="24"/>
          <w:szCs w:val="24"/>
        </w:rPr>
        <w:t xml:space="preserve">potentially threaten private property rights of individuals it has no authority to regulate.  Evidence regarding </w:t>
      </w:r>
      <w:r w:rsidR="00CD3A61">
        <w:rPr>
          <w:rFonts w:ascii="Times New Roman" w:hAnsi="Times New Roman" w:cs="Times New Roman"/>
          <w:bCs/>
          <w:sz w:val="24"/>
          <w:szCs w:val="24"/>
        </w:rPr>
        <w:t xml:space="preserve">property </w:t>
      </w:r>
      <w:r w:rsidR="00A67857">
        <w:rPr>
          <w:rFonts w:ascii="Times New Roman" w:hAnsi="Times New Roman" w:cs="Times New Roman"/>
          <w:bCs/>
          <w:sz w:val="24"/>
          <w:szCs w:val="24"/>
        </w:rPr>
        <w:t xml:space="preserve">rights </w:t>
      </w:r>
      <w:r w:rsidR="00B729AB">
        <w:rPr>
          <w:rFonts w:ascii="Times New Roman" w:hAnsi="Times New Roman" w:cs="Times New Roman"/>
          <w:bCs/>
          <w:sz w:val="24"/>
          <w:szCs w:val="24"/>
        </w:rPr>
        <w:t xml:space="preserve">and the taking away of those rights </w:t>
      </w:r>
      <w:r w:rsidR="00A67857">
        <w:rPr>
          <w:rFonts w:ascii="Times New Roman" w:hAnsi="Times New Roman" w:cs="Times New Roman"/>
          <w:bCs/>
          <w:sz w:val="24"/>
          <w:szCs w:val="24"/>
        </w:rPr>
        <w:t>is relevant and must be considered.</w:t>
      </w:r>
    </w:p>
    <w:p w:rsidR="00184D48" w:rsidRDefault="00A67857" w:rsidP="00A67857">
      <w:pPr>
        <w:pStyle w:val="ListParagraph"/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WHEREFORE, for the reasons stated above, UFM requests the Commission deny Grain Belt’s motion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14954" w:rsidRPr="00F0784E" w:rsidRDefault="00B14954" w:rsidP="00CD3A61">
      <w:pPr>
        <w:pStyle w:val="Default"/>
        <w:spacing w:line="480" w:lineRule="auto"/>
        <w:ind w:left="3600" w:firstLine="720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>Respectfully submitted,</w:t>
      </w:r>
    </w:p>
    <w:p w:rsidR="00B14954" w:rsidRPr="00F0784E" w:rsidRDefault="00B14954" w:rsidP="00B14954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B14954" w:rsidRPr="00B43024" w:rsidRDefault="00B14954" w:rsidP="00B14954">
      <w:pPr>
        <w:pStyle w:val="Default"/>
        <w:spacing w:line="480" w:lineRule="auto"/>
        <w:rPr>
          <w:rFonts w:ascii="Times New Roman" w:hAnsi="Times New Roman" w:cs="Times New Roman"/>
          <w:u w:val="single"/>
        </w:rPr>
      </w:pP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  <w:t xml:space="preserve"> By:  </w:t>
      </w:r>
      <w:r w:rsidRPr="00BD6E61">
        <w:rPr>
          <w:rFonts w:ascii="Times New Roman" w:hAnsi="Times New Roman" w:cs="Times New Roman"/>
          <w:u w:val="single"/>
        </w:rPr>
        <w:t>/s</w:t>
      </w:r>
      <w:proofErr w:type="gramStart"/>
      <w:r w:rsidRPr="00BD6E61">
        <w:rPr>
          <w:rFonts w:ascii="Times New Roman" w:hAnsi="Times New Roman" w:cs="Times New Roman"/>
          <w:u w:val="single"/>
        </w:rPr>
        <w:t>/  David</w:t>
      </w:r>
      <w:proofErr w:type="gramEnd"/>
      <w:r>
        <w:rPr>
          <w:rFonts w:ascii="Times New Roman" w:hAnsi="Times New Roman" w:cs="Times New Roman"/>
          <w:u w:val="single"/>
        </w:rPr>
        <w:t xml:space="preserve"> C. Linton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  <w:t>David C. Linton, #32198</w:t>
      </w: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proofErr w:type="gramStart"/>
      <w:r w:rsidRPr="00F0784E">
        <w:rPr>
          <w:rFonts w:ascii="Times New Roman" w:hAnsi="Times New Roman" w:cs="Times New Roman"/>
        </w:rPr>
        <w:t>314  Romaine</w:t>
      </w:r>
      <w:proofErr w:type="gramEnd"/>
      <w:r w:rsidRPr="00F0784E">
        <w:rPr>
          <w:rFonts w:ascii="Times New Roman" w:hAnsi="Times New Roman" w:cs="Times New Roman"/>
        </w:rPr>
        <w:t xml:space="preserve"> Spring View</w:t>
      </w: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  <w:t>Fenton, MO 63026</w:t>
      </w: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  <w:t>Telephone:  314-341-5769</w:t>
      </w:r>
    </w:p>
    <w:p w:rsidR="00B14954" w:rsidRDefault="00B14954" w:rsidP="00B14954">
      <w:pPr>
        <w:pStyle w:val="Default"/>
        <w:rPr>
          <w:rStyle w:val="Hyperlink"/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lastRenderedPageBreak/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ab/>
        <w:t xml:space="preserve">Email:  </w:t>
      </w:r>
      <w:hyperlink r:id="rId8" w:history="1">
        <w:r w:rsidRPr="00F0784E">
          <w:rPr>
            <w:rStyle w:val="Hyperlink"/>
            <w:rFonts w:ascii="Times New Roman" w:hAnsi="Times New Roman" w:cs="Times New Roman"/>
          </w:rPr>
          <w:t>jdlinton@reagan.com</w:t>
        </w:r>
      </w:hyperlink>
    </w:p>
    <w:p w:rsidR="00B14954" w:rsidRDefault="00B14954" w:rsidP="00B14954">
      <w:pPr>
        <w:pStyle w:val="Default"/>
        <w:rPr>
          <w:rStyle w:val="Hyperlink"/>
          <w:rFonts w:ascii="Times New Roman" w:hAnsi="Times New Roman" w:cs="Times New Roman"/>
        </w:rPr>
      </w:pPr>
    </w:p>
    <w:p w:rsidR="00B14954" w:rsidRPr="00B14954" w:rsidRDefault="00B14954" w:rsidP="00B14954">
      <w:pPr>
        <w:pStyle w:val="Default"/>
        <w:rPr>
          <w:rFonts w:ascii="Times New Roman" w:hAnsi="Times New Roman" w:cs="Times New Roman"/>
          <w:color w:val="auto"/>
        </w:rPr>
      </w:pP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B14954">
        <w:rPr>
          <w:rStyle w:val="Hyperlink"/>
          <w:rFonts w:ascii="Times New Roman" w:hAnsi="Times New Roman" w:cs="Times New Roman"/>
          <w:color w:val="auto"/>
          <w:u w:val="none"/>
        </w:rPr>
        <w:tab/>
        <w:t>Attorney for United for Missouri, Inc.</w:t>
      </w: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</w:p>
    <w:p w:rsidR="00B14954" w:rsidRPr="00F0784E" w:rsidRDefault="00B14954" w:rsidP="00B14954">
      <w:pPr>
        <w:pStyle w:val="Default"/>
        <w:rPr>
          <w:rFonts w:ascii="Times New Roman" w:hAnsi="Times New Roman" w:cs="Times New Roman"/>
        </w:rPr>
      </w:pPr>
    </w:p>
    <w:p w:rsidR="00B14954" w:rsidRPr="00F0784E" w:rsidRDefault="00B14954" w:rsidP="00B14954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F0784E">
        <w:rPr>
          <w:rFonts w:ascii="Times New Roman" w:hAnsi="Times New Roman" w:cs="Times New Roman"/>
        </w:rPr>
        <w:t>CERTIFICATE OF SERVICE</w:t>
      </w:r>
    </w:p>
    <w:p w:rsidR="00B14954" w:rsidRPr="00F0784E" w:rsidRDefault="00B14954" w:rsidP="00B14954">
      <w:pPr>
        <w:pStyle w:val="Default"/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0784E">
        <w:rPr>
          <w:rFonts w:ascii="Times New Roman" w:hAnsi="Times New Roman" w:cs="Times New Roman"/>
        </w:rPr>
        <w:t xml:space="preserve">I hereby certify that </w:t>
      </w:r>
      <w:r>
        <w:rPr>
          <w:rFonts w:ascii="Times New Roman" w:hAnsi="Times New Roman" w:cs="Times New Roman"/>
        </w:rPr>
        <w:t>a true copy</w:t>
      </w:r>
      <w:r w:rsidRPr="00F0784E">
        <w:rPr>
          <w:rFonts w:ascii="Times New Roman" w:hAnsi="Times New Roman" w:cs="Times New Roman"/>
        </w:rPr>
        <w:t xml:space="preserve"> of the foregoing </w:t>
      </w:r>
      <w:r w:rsidR="00D924A3">
        <w:rPr>
          <w:rFonts w:ascii="Times New Roman" w:hAnsi="Times New Roman" w:cs="Times New Roman"/>
        </w:rPr>
        <w:t>pleading</w:t>
      </w:r>
      <w:r>
        <w:rPr>
          <w:rFonts w:ascii="Times New Roman" w:hAnsi="Times New Roman" w:cs="Times New Roman"/>
        </w:rPr>
        <w:t xml:space="preserve"> was</w:t>
      </w:r>
      <w:r w:rsidRPr="00F0784E">
        <w:rPr>
          <w:rFonts w:ascii="Times New Roman" w:hAnsi="Times New Roman" w:cs="Times New Roman"/>
        </w:rPr>
        <w:t xml:space="preserve"> sent to </w:t>
      </w:r>
      <w:r w:rsidR="00D924A3">
        <w:rPr>
          <w:rFonts w:ascii="Times New Roman" w:hAnsi="Times New Roman" w:cs="Times New Roman"/>
        </w:rPr>
        <w:t>all parties of record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in File No. EA-2014-0207</w:t>
      </w:r>
      <w:r w:rsidRPr="00F0784E">
        <w:rPr>
          <w:rFonts w:ascii="Times New Roman" w:hAnsi="Times New Roman" w:cs="Times New Roman"/>
        </w:rPr>
        <w:t xml:space="preserve"> via electronic</w:t>
      </w:r>
      <w:r w:rsidR="00D924A3">
        <w:rPr>
          <w:rFonts w:ascii="Times New Roman" w:hAnsi="Times New Roman" w:cs="Times New Roman"/>
        </w:rPr>
        <w:t xml:space="preserve"> transmission this 3rd</w:t>
      </w:r>
      <w:r w:rsidRPr="00F0784E">
        <w:rPr>
          <w:rFonts w:ascii="Times New Roman" w:hAnsi="Times New Roman" w:cs="Times New Roman"/>
        </w:rPr>
        <w:t xml:space="preserve"> day of </w:t>
      </w:r>
      <w:r>
        <w:rPr>
          <w:rFonts w:ascii="Times New Roman" w:hAnsi="Times New Roman" w:cs="Times New Roman"/>
        </w:rPr>
        <w:t>November</w:t>
      </w:r>
      <w:r w:rsidRPr="00F0784E">
        <w:rPr>
          <w:rFonts w:ascii="Times New Roman" w:hAnsi="Times New Roman" w:cs="Times New Roman"/>
        </w:rPr>
        <w:t>, 2014.</w:t>
      </w:r>
    </w:p>
    <w:p w:rsidR="00B14954" w:rsidRPr="00B43024" w:rsidRDefault="00B14954" w:rsidP="00B14954">
      <w:pPr>
        <w:pStyle w:val="Default"/>
        <w:tabs>
          <w:tab w:val="left" w:pos="5040"/>
          <w:tab w:val="left" w:pos="6480"/>
          <w:tab w:val="left" w:pos="7920"/>
        </w:tabs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/s/ David C. Linton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14954" w:rsidRPr="00634324" w:rsidRDefault="00B14954" w:rsidP="00A67857">
      <w:pPr>
        <w:pStyle w:val="ListParagraph"/>
        <w:spacing w:line="48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</w:p>
    <w:sectPr w:rsidR="00B14954" w:rsidRPr="00634324" w:rsidSect="00CD3A6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32" w:rsidRDefault="00FA5F32" w:rsidP="000C16DF">
      <w:pPr>
        <w:spacing w:after="0" w:line="240" w:lineRule="auto"/>
      </w:pPr>
      <w:r>
        <w:separator/>
      </w:r>
    </w:p>
  </w:endnote>
  <w:endnote w:type="continuationSeparator" w:id="0">
    <w:p w:rsidR="00FA5F32" w:rsidRDefault="00FA5F32" w:rsidP="000C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011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A61" w:rsidRDefault="00CD3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3A61" w:rsidRDefault="00CD3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32" w:rsidRDefault="00FA5F32" w:rsidP="000C16DF">
      <w:pPr>
        <w:spacing w:after="0" w:line="240" w:lineRule="auto"/>
      </w:pPr>
      <w:r>
        <w:separator/>
      </w:r>
    </w:p>
  </w:footnote>
  <w:footnote w:type="continuationSeparator" w:id="0">
    <w:p w:rsidR="00FA5F32" w:rsidRDefault="00FA5F32" w:rsidP="000C16DF">
      <w:pPr>
        <w:spacing w:after="0" w:line="240" w:lineRule="auto"/>
      </w:pPr>
      <w:r>
        <w:continuationSeparator/>
      </w:r>
    </w:p>
  </w:footnote>
  <w:footnote w:id="1">
    <w:p w:rsidR="000C16DF" w:rsidRPr="00673EA4" w:rsidRDefault="000C16D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600 S.W.2d 147 (Mo. App. W.D. 1980).</w:t>
      </w:r>
    </w:p>
  </w:footnote>
  <w:footnote w:id="2">
    <w:p w:rsidR="000C16DF" w:rsidRPr="00673EA4" w:rsidRDefault="000C16D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Id. at 154.</w:t>
      </w:r>
    </w:p>
  </w:footnote>
  <w:footnote w:id="3">
    <w:p w:rsidR="00084193" w:rsidRPr="00673EA4" w:rsidRDefault="0008419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Id. at 155.</w:t>
      </w:r>
    </w:p>
  </w:footnote>
  <w:footnote w:id="4">
    <w:p w:rsidR="00FF67BC" w:rsidRPr="00673EA4" w:rsidRDefault="00FF67B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“</w:t>
      </w:r>
      <w:proofErr w:type="gramStart"/>
      <w:r w:rsidRPr="00673EA4">
        <w:rPr>
          <w:rFonts w:ascii="Times New Roman" w:hAnsi="Times New Roman" w:cs="Times New Roman"/>
          <w:sz w:val="22"/>
          <w:szCs w:val="22"/>
        </w:rPr>
        <w:t>except</w:t>
      </w:r>
      <w:proofErr w:type="gramEnd"/>
      <w:r w:rsidRPr="00673EA4">
        <w:rPr>
          <w:rFonts w:ascii="Times New Roman" w:hAnsi="Times New Roman" w:cs="Times New Roman"/>
          <w:sz w:val="22"/>
          <w:szCs w:val="22"/>
        </w:rPr>
        <w:t xml:space="preserve"> for private ways of necessity, and except for drains and ditches across the lands of others for agricultural and sanitary purposes,” which circumstances are not under consideration here.</w:t>
      </w:r>
    </w:p>
  </w:footnote>
  <w:footnote w:id="5">
    <w:p w:rsidR="00CC17F1" w:rsidRPr="00673EA4" w:rsidRDefault="00CC17F1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</w:t>
      </w:r>
      <w:r w:rsidRPr="00673EA4">
        <w:rPr>
          <w:rFonts w:ascii="Times New Roman" w:hAnsi="Times New Roman" w:cs="Times New Roman"/>
          <w:i/>
          <w:sz w:val="22"/>
          <w:szCs w:val="22"/>
        </w:rPr>
        <w:t>In Re Union Electric Company</w:t>
      </w:r>
      <w:r w:rsidRPr="00673EA4">
        <w:rPr>
          <w:rFonts w:ascii="Times New Roman" w:hAnsi="Times New Roman" w:cs="Times New Roman"/>
          <w:sz w:val="22"/>
          <w:szCs w:val="22"/>
        </w:rPr>
        <w:t>,</w:t>
      </w:r>
      <w:r w:rsidR="00673EA4">
        <w:rPr>
          <w:rFonts w:ascii="Times New Roman" w:hAnsi="Times New Roman" w:cs="Times New Roman"/>
          <w:sz w:val="22"/>
          <w:szCs w:val="22"/>
        </w:rPr>
        <w:t xml:space="preserve"> Case Nos. EA-87-159, EA-88-124, EA-89</w:t>
      </w:r>
      <w:r w:rsidR="00CD3A61">
        <w:rPr>
          <w:rFonts w:ascii="Times New Roman" w:hAnsi="Times New Roman" w:cs="Times New Roman"/>
          <w:sz w:val="22"/>
          <w:szCs w:val="22"/>
        </w:rPr>
        <w:t xml:space="preserve">-80, </w:t>
      </w:r>
      <w:r w:rsidR="00CD3A61" w:rsidRPr="00CD3A61">
        <w:rPr>
          <w:rFonts w:ascii="Times New Roman" w:hAnsi="Times New Roman" w:cs="Times New Roman"/>
          <w:i/>
          <w:sz w:val="22"/>
          <w:szCs w:val="22"/>
        </w:rPr>
        <w:t>Report and Order</w:t>
      </w:r>
      <w:r w:rsidR="00CD3A61">
        <w:rPr>
          <w:rFonts w:ascii="Times New Roman" w:hAnsi="Times New Roman" w:cs="Times New Roman"/>
          <w:sz w:val="22"/>
          <w:szCs w:val="22"/>
        </w:rPr>
        <w:t>,</w:t>
      </w:r>
      <w:r w:rsidRPr="00673EA4">
        <w:rPr>
          <w:rFonts w:ascii="Times New Roman" w:hAnsi="Times New Roman" w:cs="Times New Roman"/>
          <w:sz w:val="22"/>
          <w:szCs w:val="22"/>
        </w:rPr>
        <w:t xml:space="preserve"> </w:t>
      </w:r>
      <w:r w:rsidR="00CD3A61">
        <w:rPr>
          <w:rFonts w:ascii="Times New Roman" w:hAnsi="Times New Roman" w:cs="Times New Roman"/>
          <w:sz w:val="22"/>
          <w:szCs w:val="22"/>
        </w:rPr>
        <w:t xml:space="preserve">(April 27, 1990), </w:t>
      </w:r>
      <w:r w:rsidRPr="00673EA4">
        <w:rPr>
          <w:rFonts w:ascii="Times New Roman" w:hAnsi="Times New Roman" w:cs="Times New Roman"/>
          <w:sz w:val="22"/>
          <w:szCs w:val="22"/>
        </w:rPr>
        <w:t>p. 11.</w:t>
      </w:r>
    </w:p>
  </w:footnote>
  <w:footnote w:id="6">
    <w:p w:rsidR="00DC43E0" w:rsidRDefault="00DC43E0">
      <w:pPr>
        <w:pStyle w:val="FootnoteText"/>
      </w:pPr>
      <w:r w:rsidRPr="00673EA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73EA4">
        <w:rPr>
          <w:rFonts w:ascii="Times New Roman" w:hAnsi="Times New Roman" w:cs="Times New Roman"/>
          <w:sz w:val="22"/>
          <w:szCs w:val="22"/>
        </w:rPr>
        <w:t xml:space="preserve"> </w:t>
      </w:r>
      <w:r w:rsidRPr="00673EA4">
        <w:rPr>
          <w:rFonts w:ascii="Times New Roman" w:hAnsi="Times New Roman" w:cs="Times New Roman"/>
          <w:i/>
          <w:color w:val="3F3F3F"/>
          <w:sz w:val="22"/>
          <w:szCs w:val="22"/>
        </w:rPr>
        <w:t>Stopaquila.Org v. Aquila, Inc</w:t>
      </w:r>
      <w:r w:rsidRPr="00673EA4">
        <w:rPr>
          <w:rFonts w:ascii="Times New Roman" w:hAnsi="Times New Roman" w:cs="Times New Roman"/>
          <w:color w:val="3F3F3F"/>
          <w:sz w:val="22"/>
          <w:szCs w:val="22"/>
        </w:rPr>
        <w:t>., 180 S.W.3d 24 (Mo, 2005).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C0ED3"/>
    <w:multiLevelType w:val="hybridMultilevel"/>
    <w:tmpl w:val="3C8E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67"/>
    <w:rsid w:val="000614D0"/>
    <w:rsid w:val="00084193"/>
    <w:rsid w:val="000C16DF"/>
    <w:rsid w:val="00184D48"/>
    <w:rsid w:val="00457867"/>
    <w:rsid w:val="004B765E"/>
    <w:rsid w:val="004F7E28"/>
    <w:rsid w:val="005624D0"/>
    <w:rsid w:val="00601277"/>
    <w:rsid w:val="00634324"/>
    <w:rsid w:val="00673EA4"/>
    <w:rsid w:val="0095793B"/>
    <w:rsid w:val="00983A7C"/>
    <w:rsid w:val="009B4A64"/>
    <w:rsid w:val="00A67857"/>
    <w:rsid w:val="00B14954"/>
    <w:rsid w:val="00B6322A"/>
    <w:rsid w:val="00B729AB"/>
    <w:rsid w:val="00C94A56"/>
    <w:rsid w:val="00CC17F1"/>
    <w:rsid w:val="00CD3A61"/>
    <w:rsid w:val="00D924A3"/>
    <w:rsid w:val="00DC43E0"/>
    <w:rsid w:val="00E141C7"/>
    <w:rsid w:val="00FA5F32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052EB-CD24-4161-A8EB-64E097A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16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6DF"/>
    <w:rPr>
      <w:vertAlign w:val="superscript"/>
    </w:rPr>
  </w:style>
  <w:style w:type="paragraph" w:customStyle="1" w:styleId="Default">
    <w:name w:val="Default"/>
    <w:rsid w:val="00B149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49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61"/>
  </w:style>
  <w:style w:type="paragraph" w:styleId="Footer">
    <w:name w:val="footer"/>
    <w:basedOn w:val="Normal"/>
    <w:link w:val="FooterChar"/>
    <w:uiPriority w:val="99"/>
    <w:unhideWhenUsed/>
    <w:rsid w:val="00CD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linton@reag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A377-0410-421A-9138-32E2C905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Linton</dc:creator>
  <cp:keywords/>
  <dc:description/>
  <cp:lastModifiedBy>David Linton</cp:lastModifiedBy>
  <cp:revision>5</cp:revision>
  <cp:lastPrinted>2014-11-03T21:26:00Z</cp:lastPrinted>
  <dcterms:created xsi:type="dcterms:W3CDTF">2014-11-03T13:35:00Z</dcterms:created>
  <dcterms:modified xsi:type="dcterms:W3CDTF">2014-11-03T21:26:00Z</dcterms:modified>
</cp:coreProperties>
</file>