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8955" w:tblpY="1558"/>
        <w:tblOverlap w:val="never"/>
        <w:tblW w:w="2340" w:type="dxa"/>
        <w:tblLook w:val="04A0"/>
      </w:tblPr>
      <w:tblGrid>
        <w:gridCol w:w="2340"/>
      </w:tblGrid>
      <w:tr w:rsidR="00C34309" w:rsidRPr="00EC4116" w:rsidTr="00C34309">
        <w:trPr>
          <w:trHeight w:val="900"/>
        </w:trPr>
        <w:tc>
          <w:tcPr>
            <w:tcW w:w="2340" w:type="dxa"/>
            <w:tcMar>
              <w:left w:w="0" w:type="dxa"/>
              <w:right w:w="58" w:type="dxa"/>
            </w:tcMar>
          </w:tcPr>
          <w:p w:rsidR="00C34309" w:rsidRPr="00EC4116" w:rsidRDefault="00C34309" w:rsidP="00C34309">
            <w:pPr>
              <w:pStyle w:val="NoSpacing"/>
              <w:jc w:val="right"/>
              <w:rPr>
                <w:rFonts w:ascii="Arial" w:hAnsi="Arial" w:cs="Arial"/>
                <w:sz w:val="16"/>
                <w:szCs w:val="16"/>
              </w:rPr>
            </w:pPr>
            <w:smartTag w:uri="urn:schemas-microsoft-com:office:smarttags" w:element="Street">
              <w:smartTag w:uri="urn:schemas-microsoft-com:office:smarttags" w:element="address">
                <w:r>
                  <w:rPr>
                    <w:rFonts w:ascii="Arial" w:hAnsi="Arial" w:cs="Arial"/>
                    <w:sz w:val="16"/>
                    <w:szCs w:val="16"/>
                  </w:rPr>
                  <w:t>5454 West 110th Street</w:t>
                </w:r>
              </w:smartTag>
            </w:smartTag>
          </w:p>
          <w:p w:rsidR="00C34309" w:rsidRPr="00EC4116" w:rsidRDefault="00C34309" w:rsidP="00C34309">
            <w:pPr>
              <w:pStyle w:val="NoSpacing"/>
              <w:jc w:val="right"/>
              <w:rPr>
                <w:rFonts w:ascii="Arial" w:hAnsi="Arial" w:cs="Arial"/>
                <w:sz w:val="16"/>
                <w:szCs w:val="16"/>
              </w:rPr>
            </w:pPr>
            <w:smartTag w:uri="urn:schemas-microsoft-com:office:smarttags" w:element="place">
              <w:smartTag w:uri="urn:schemas-microsoft-com:office:smarttags" w:element="City">
                <w:r w:rsidRPr="00EC4116">
                  <w:rPr>
                    <w:rFonts w:ascii="Arial" w:hAnsi="Arial" w:cs="Arial"/>
                    <w:sz w:val="16"/>
                    <w:szCs w:val="16"/>
                  </w:rPr>
                  <w:t>Overland Park</w:t>
                </w:r>
              </w:smartTag>
              <w:r w:rsidRPr="00EC4116">
                <w:rPr>
                  <w:rFonts w:ascii="Arial" w:hAnsi="Arial" w:cs="Arial"/>
                  <w:sz w:val="16"/>
                  <w:szCs w:val="16"/>
                </w:rPr>
                <w:t xml:space="preserve">, </w:t>
              </w:r>
              <w:smartTag w:uri="urn:schemas-microsoft-com:office:smarttags" w:element="State">
                <w:r w:rsidRPr="00EC4116">
                  <w:rPr>
                    <w:rFonts w:ascii="Arial" w:hAnsi="Arial" w:cs="Arial"/>
                    <w:sz w:val="16"/>
                    <w:szCs w:val="16"/>
                  </w:rPr>
                  <w:t>KS</w:t>
                </w:r>
              </w:smartTag>
              <w:r w:rsidRPr="00EC4116">
                <w:rPr>
                  <w:rFonts w:ascii="Arial" w:hAnsi="Arial" w:cs="Arial"/>
                  <w:sz w:val="16"/>
                  <w:szCs w:val="16"/>
                </w:rPr>
                <w:t xml:space="preserve"> </w:t>
              </w:r>
              <w:smartTag w:uri="urn:schemas-microsoft-com:office:smarttags" w:element="PostalCode">
                <w:r w:rsidRPr="00EC4116">
                  <w:rPr>
                    <w:rFonts w:ascii="Arial" w:hAnsi="Arial" w:cs="Arial"/>
                    <w:sz w:val="16"/>
                    <w:szCs w:val="16"/>
                  </w:rPr>
                  <w:t>6621</w:t>
                </w:r>
                <w:r>
                  <w:rPr>
                    <w:rFonts w:ascii="Arial" w:hAnsi="Arial" w:cs="Arial"/>
                    <w:sz w:val="16"/>
                    <w:szCs w:val="16"/>
                  </w:rPr>
                  <w:t>1</w:t>
                </w:r>
              </w:smartTag>
            </w:smartTag>
          </w:p>
          <w:p w:rsidR="00C34309" w:rsidRPr="00EC4116" w:rsidRDefault="00C34309" w:rsidP="00C34309">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Pr>
                <w:rFonts w:ascii="Arial" w:hAnsi="Arial" w:cs="Arial"/>
                <w:sz w:val="16"/>
                <w:szCs w:val="16"/>
              </w:rPr>
              <w:t>345.7572</w:t>
            </w:r>
          </w:p>
          <w:p w:rsidR="00C34309" w:rsidRPr="00EC4116" w:rsidRDefault="00C34309" w:rsidP="00C34309">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Pr>
                <w:rFonts w:ascii="Arial" w:hAnsi="Arial" w:cs="Arial"/>
                <w:sz w:val="16"/>
                <w:szCs w:val="16"/>
              </w:rPr>
              <w:t>345.6755</w:t>
            </w:r>
          </w:p>
          <w:p w:rsidR="00C34309" w:rsidRPr="00EC4116" w:rsidRDefault="00C34309" w:rsidP="00C34309">
            <w:pPr>
              <w:pStyle w:val="NoSpacing"/>
              <w:jc w:val="right"/>
              <w:rPr>
                <w:rFonts w:ascii="Arial" w:hAnsi="Arial" w:cs="Arial"/>
                <w:sz w:val="16"/>
                <w:szCs w:val="16"/>
              </w:rPr>
            </w:pPr>
            <w:r>
              <w:rPr>
                <w:rFonts w:ascii="Arial" w:hAnsi="Arial" w:cs="Arial"/>
                <w:sz w:val="16"/>
                <w:szCs w:val="16"/>
              </w:rPr>
              <w:t>gary.kepley@centurylink.com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7" cy="881150"/>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881150"/>
                    </a:xfrm>
                    <a:prstGeom prst="rect">
                      <a:avLst/>
                    </a:prstGeom>
                    <a:noFill/>
                    <a:ln w="9525">
                      <a:noFill/>
                      <a:miter lim="800000"/>
                      <a:headEnd/>
                      <a:tailEnd/>
                    </a:ln>
                  </pic:spPr>
                </pic:pic>
              </a:graphicData>
            </a:graphic>
          </wp:anchor>
        </w:drawing>
      </w:r>
      <w:r w:rsidR="00123F0D">
        <w:rPr>
          <w:rFonts w:ascii="Arial" w:hAnsi="Arial" w:cs="Arial"/>
          <w:sz w:val="20"/>
          <w:szCs w:val="20"/>
        </w:rPr>
        <w:t>May 1</w:t>
      </w:r>
      <w:r w:rsidR="005F13BC">
        <w:rPr>
          <w:rFonts w:ascii="Arial" w:hAnsi="Arial" w:cs="Arial"/>
          <w:sz w:val="20"/>
          <w:szCs w:val="20"/>
        </w:rPr>
        <w:t>3</w:t>
      </w:r>
      <w:r w:rsidR="00507B84">
        <w:rPr>
          <w:rFonts w:ascii="Arial" w:hAnsi="Arial" w:cs="Arial"/>
          <w:sz w:val="20"/>
          <w:szCs w:val="20"/>
        </w:rPr>
        <w:t>, 201</w:t>
      </w:r>
      <w:r w:rsidR="00804F69">
        <w:rPr>
          <w:rFonts w:ascii="Arial" w:hAnsi="Arial" w:cs="Arial"/>
          <w:sz w:val="20"/>
          <w:szCs w:val="20"/>
        </w:rPr>
        <w:t>4</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r w:rsidR="00291AB7">
        <w:rPr>
          <w:rFonts w:ascii="Arial" w:hAnsi="Arial" w:cs="Arial"/>
          <w:sz w:val="20"/>
          <w:szCs w:val="20"/>
        </w:rPr>
        <w:t>Spectra Communications Group, LLC d/b/a CenturyLink,</w:t>
      </w:r>
      <w:r w:rsidR="00291AB7" w:rsidRPr="00904857">
        <w:rPr>
          <w:rFonts w:ascii="Arial" w:hAnsi="Arial" w:cs="Arial"/>
          <w:sz w:val="20"/>
          <w:szCs w:val="20"/>
        </w:rPr>
        <w:t xml:space="preserve"> </w:t>
      </w:r>
      <w:r w:rsidR="00291AB7">
        <w:rPr>
          <w:rFonts w:ascii="Arial" w:hAnsi="Arial" w:cs="Arial"/>
          <w:sz w:val="20"/>
          <w:szCs w:val="20"/>
        </w:rPr>
        <w:t>Access</w:t>
      </w:r>
      <w:r w:rsidR="00291AB7" w:rsidRPr="00904857">
        <w:rPr>
          <w:rFonts w:ascii="Arial" w:hAnsi="Arial" w:cs="Arial"/>
          <w:sz w:val="20"/>
          <w:szCs w:val="20"/>
        </w:rPr>
        <w:t xml:space="preserve"> </w:t>
      </w:r>
      <w:r w:rsidR="00291AB7">
        <w:rPr>
          <w:rFonts w:ascii="Arial" w:hAnsi="Arial" w:cs="Arial"/>
          <w:sz w:val="20"/>
          <w:szCs w:val="20"/>
        </w:rPr>
        <w:t xml:space="preserve">Service </w:t>
      </w:r>
      <w:r w:rsidR="00291AB7" w:rsidRPr="00904857">
        <w:rPr>
          <w:rFonts w:ascii="Arial" w:hAnsi="Arial" w:cs="Arial"/>
          <w:sz w:val="20"/>
          <w:szCs w:val="20"/>
        </w:rPr>
        <w:t>Tariff, P.S.C. MO.</w:t>
      </w:r>
      <w:r w:rsidR="00291AB7">
        <w:rPr>
          <w:rFonts w:ascii="Arial" w:hAnsi="Arial" w:cs="Arial"/>
          <w:sz w:val="20"/>
          <w:szCs w:val="20"/>
        </w:rPr>
        <w:t>-</w:t>
      </w:r>
      <w:r w:rsidR="00291AB7" w:rsidRPr="00904857">
        <w:rPr>
          <w:rFonts w:ascii="Arial" w:hAnsi="Arial" w:cs="Arial"/>
          <w:sz w:val="20"/>
          <w:szCs w:val="20"/>
        </w:rPr>
        <w:t xml:space="preserve">No. </w:t>
      </w:r>
      <w:r w:rsidR="00291AB7">
        <w:rPr>
          <w:rFonts w:ascii="Arial" w:hAnsi="Arial" w:cs="Arial"/>
          <w:sz w:val="20"/>
          <w:szCs w:val="20"/>
        </w:rPr>
        <w:t>2</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a</w:t>
      </w:r>
      <w:r>
        <w:rPr>
          <w:rFonts w:ascii="Arial" w:hAnsi="Arial" w:cs="Arial"/>
          <w:sz w:val="20"/>
          <w:szCs w:val="20"/>
        </w:rPr>
        <w:t xml:space="preserve"> May 1</w:t>
      </w:r>
      <w:r w:rsidR="005F13BC">
        <w:rPr>
          <w:rFonts w:ascii="Arial" w:hAnsi="Arial" w:cs="Arial"/>
          <w:sz w:val="20"/>
          <w:szCs w:val="20"/>
        </w:rPr>
        <w:t>3</w:t>
      </w:r>
      <w:r>
        <w:rPr>
          <w:rFonts w:ascii="Arial" w:hAnsi="Arial" w:cs="Arial"/>
          <w:sz w:val="20"/>
          <w:szCs w:val="20"/>
        </w:rPr>
        <w:t>, 2014</w:t>
      </w:r>
      <w:r w:rsidRPr="00904857">
        <w:rPr>
          <w:rFonts w:ascii="Arial" w:hAnsi="Arial" w:cs="Arial"/>
          <w:sz w:val="20"/>
          <w:szCs w:val="20"/>
        </w:rPr>
        <w:t xml:space="preserve"> issue date and a proposed effective date of </w:t>
      </w:r>
      <w:r>
        <w:rPr>
          <w:rFonts w:ascii="Arial" w:hAnsi="Arial" w:cs="Arial"/>
          <w:sz w:val="20"/>
          <w:szCs w:val="20"/>
        </w:rPr>
        <w:t>July 1, 2014</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 xml:space="preserve">implement </w:t>
      </w:r>
      <w:r w:rsidR="005F13BC">
        <w:rPr>
          <w:rFonts w:ascii="Arial" w:hAnsi="Arial" w:cs="Arial"/>
          <w:sz w:val="20"/>
          <w:szCs w:val="20"/>
        </w:rPr>
        <w:t xml:space="preserve">further reductions in local switching rates (regular end office and VOIP) </w:t>
      </w:r>
      <w:r>
        <w:rPr>
          <w:rFonts w:ascii="Arial" w:hAnsi="Arial" w:cs="Arial"/>
          <w:sz w:val="20"/>
          <w:szCs w:val="20"/>
        </w:rPr>
        <w:t>as mandated in the Federal Communications Commission' November 18, 2011 Report and Order and Further Notice of Proposed Rulemaking in WC Docket Nos. 10-90, etc. (FCC 11-161</w:t>
      </w:r>
      <w:r w:rsidR="003E0D94">
        <w:rPr>
          <w:rFonts w:ascii="Arial" w:hAnsi="Arial" w:cs="Arial"/>
          <w:sz w:val="20"/>
          <w:szCs w:val="20"/>
        </w:rPr>
        <w:t>)</w:t>
      </w:r>
      <w:r w:rsidR="009C31E9">
        <w:rPr>
          <w:rFonts w:ascii="Arial" w:hAnsi="Arial" w:cs="Arial"/>
          <w:sz w:val="20"/>
          <w:szCs w:val="20"/>
        </w:rPr>
        <w:t>.  The former rates filed May 1 were posted from an incorrect model.</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r w:rsidR="005F13BC">
        <w:rPr>
          <w:rFonts w:ascii="Arial" w:hAnsi="Arial" w:cs="Arial"/>
          <w:sz w:val="20"/>
          <w:szCs w:val="20"/>
        </w:rPr>
        <w:t xml:space="preserve">The earlier filing </w:t>
      </w:r>
      <w:r w:rsidR="00C34309">
        <w:rPr>
          <w:rFonts w:ascii="Arial" w:hAnsi="Arial" w:cs="Arial"/>
          <w:sz w:val="20"/>
          <w:szCs w:val="20"/>
        </w:rPr>
        <w:t xml:space="preserve">also </w:t>
      </w:r>
      <w:r w:rsidR="005F13BC">
        <w:rPr>
          <w:rFonts w:ascii="Arial" w:hAnsi="Arial" w:cs="Arial"/>
          <w:sz w:val="20"/>
          <w:szCs w:val="20"/>
        </w:rPr>
        <w:t>inadvertently failed to show the different LS1 and LS2 rates for VOIP traffic.</w:t>
      </w:r>
    </w:p>
    <w:p w:rsidR="007C20F5" w:rsidRPr="00904857" w:rsidRDefault="007C20F5" w:rsidP="007C20F5">
      <w:pPr>
        <w:spacing w:after="0" w:line="240" w:lineRule="auto"/>
        <w:rPr>
          <w:rFonts w:ascii="Arial" w:hAnsi="Arial" w:cs="Arial"/>
          <w:sz w:val="20"/>
          <w:szCs w:val="20"/>
        </w:rPr>
      </w:pP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a change are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r w:rsidRPr="00904857">
        <w:rPr>
          <w:rFonts w:ascii="Arial" w:hAnsi="Arial" w:cs="Arial"/>
          <w:sz w:val="20"/>
          <w:szCs w:val="20"/>
        </w:rPr>
        <w:t xml:space="preserve">Should you have questions or need additional information regarding this filing, please contact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r w:rsidR="0016665E">
        <w:rPr>
          <w:rFonts w:ascii="Arial" w:hAnsi="Arial" w:cs="Arial"/>
          <w:sz w:val="20"/>
          <w:szCs w:val="20"/>
        </w:rPr>
        <w:t>1560</w:t>
      </w:r>
      <w:r w:rsidR="003F4848">
        <w:rPr>
          <w:rFonts w:ascii="Arial" w:hAnsi="Arial" w:cs="Arial"/>
          <w:sz w:val="20"/>
          <w:szCs w:val="20"/>
        </w:rPr>
        <w:t xml:space="preserve"> or </w:t>
      </w:r>
      <w:r w:rsidR="00B86E2C">
        <w:rPr>
          <w:rFonts w:ascii="Arial" w:hAnsi="Arial" w:cs="Arial"/>
          <w:sz w:val="20"/>
          <w:szCs w:val="20"/>
        </w:rPr>
        <w:t>Chris Chushuk</w:t>
      </w:r>
      <w:r w:rsidR="00123F0D">
        <w:rPr>
          <w:rFonts w:ascii="Arial" w:hAnsi="Arial" w:cs="Arial"/>
          <w:sz w:val="20"/>
          <w:szCs w:val="20"/>
        </w:rPr>
        <w:t xml:space="preserve"> at (913) 345-77</w:t>
      </w:r>
      <w:r w:rsidR="00B86E2C">
        <w:rPr>
          <w:rFonts w:ascii="Arial" w:hAnsi="Arial" w:cs="Arial"/>
          <w:sz w:val="20"/>
          <w:szCs w:val="20"/>
        </w:rPr>
        <w:t>91</w:t>
      </w:r>
      <w:r>
        <w:rPr>
          <w:rFonts w:ascii="Arial" w:hAnsi="Arial" w:cs="Arial"/>
          <w:sz w:val="20"/>
          <w:szCs w:val="20"/>
        </w:rPr>
        <w:t>.</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2A2AA3" w:rsidP="00507B84">
      <w:pPr>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320165" cy="302260"/>
            <wp:effectExtent l="19050" t="0" r="0" b="0"/>
            <wp:wrapTight wrapText="bothSides">
              <wp:wrapPolygon edited="0">
                <wp:start x="-312" y="0"/>
                <wp:lineTo x="-312" y="20420"/>
                <wp:lineTo x="21506" y="20420"/>
                <wp:lineTo x="21506" y="0"/>
                <wp:lineTo x="-3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1320165" cy="302260"/>
                    </a:xfrm>
                    <a:prstGeom prst="rect">
                      <a:avLst/>
                    </a:prstGeom>
                    <a:noFill/>
                    <a:ln w="9525">
                      <a:noFill/>
                      <a:miter lim="800000"/>
                      <a:headEnd/>
                      <a:tailEnd/>
                    </a:ln>
                  </pic:spPr>
                </pic:pic>
              </a:graphicData>
            </a:graphic>
          </wp:anchor>
        </w:drawing>
      </w:r>
    </w:p>
    <w:p w:rsidR="00904857" w:rsidRDefault="00904857" w:rsidP="00507B84">
      <w:pPr>
        <w:spacing w:after="0" w:line="240" w:lineRule="auto"/>
        <w:jc w:val="both"/>
        <w:rPr>
          <w:rFonts w:ascii="Arial" w:hAnsi="Arial" w:cs="Arial"/>
          <w:sz w:val="20"/>
          <w:szCs w:val="20"/>
        </w:rPr>
      </w:pPr>
    </w:p>
    <w:p w:rsidR="00B67327" w:rsidRPr="00904857" w:rsidRDefault="00B67327" w:rsidP="00507B84">
      <w:pPr>
        <w:spacing w:after="0" w:line="240" w:lineRule="auto"/>
        <w:jc w:val="both"/>
        <w:rPr>
          <w:rFonts w:ascii="Arial" w:hAnsi="Arial" w:cs="Arial"/>
          <w:sz w:val="20"/>
          <w:szCs w:val="20"/>
        </w:rPr>
      </w:pPr>
    </w:p>
    <w:p w:rsidR="00904857" w:rsidRPr="00904857" w:rsidRDefault="0011418F" w:rsidP="00507B84">
      <w:pPr>
        <w:spacing w:after="0" w:line="240" w:lineRule="auto"/>
        <w:rPr>
          <w:rFonts w:ascii="Arial" w:hAnsi="Arial" w:cs="Arial"/>
          <w:sz w:val="20"/>
          <w:szCs w:val="20"/>
        </w:rPr>
      </w:pPr>
      <w:r>
        <w:rPr>
          <w:rFonts w:ascii="Arial" w:hAnsi="Arial" w:cs="Arial"/>
          <w:sz w:val="20"/>
          <w:szCs w:val="20"/>
        </w:rPr>
        <w:t>Gary L. Kepley</w:t>
      </w:r>
    </w:p>
    <w:p w:rsidR="00904857" w:rsidRPr="00904857" w:rsidRDefault="0011418F" w:rsidP="0011418F">
      <w:pPr>
        <w:spacing w:after="0" w:line="240" w:lineRule="auto"/>
        <w:rPr>
          <w:rFonts w:ascii="Arial" w:hAnsi="Arial" w:cs="Arial"/>
          <w:sz w:val="20"/>
          <w:szCs w:val="20"/>
        </w:rPr>
      </w:pPr>
      <w:r>
        <w:rPr>
          <w:rFonts w:ascii="Arial" w:hAnsi="Arial" w:cs="Arial"/>
          <w:sz w:val="20"/>
          <w:szCs w:val="20"/>
        </w:rPr>
        <w:t>Director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B67327">
        <w:rPr>
          <w:rFonts w:ascii="Arial" w:hAnsi="Arial" w:cs="Arial"/>
          <w:sz w:val="20"/>
          <w:szCs w:val="20"/>
        </w:rPr>
        <w:t>Mark Harper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C34309" w:rsidRPr="00904857" w:rsidRDefault="00C34309" w:rsidP="00507B84">
      <w:pPr>
        <w:spacing w:after="0" w:line="240" w:lineRule="auto"/>
        <w:ind w:left="540"/>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3974FC">
          <w:pgSz w:w="12240" w:h="15840"/>
          <w:pgMar w:top="2880" w:right="1440" w:bottom="1440" w:left="1440" w:header="720" w:footer="720" w:gutter="0"/>
          <w:cols w:space="720"/>
          <w:docGrid w:linePitch="360"/>
        </w:sectPr>
      </w:pPr>
      <w:r>
        <w:rPr>
          <w:rFonts w:ascii="Arial" w:hAnsi="Arial" w:cs="Arial"/>
          <w:sz w:val="16"/>
          <w:szCs w:val="16"/>
        </w:rPr>
        <w:t>MO 1</w:t>
      </w:r>
      <w:r w:rsidR="00EA6272">
        <w:rPr>
          <w:rFonts w:ascii="Arial" w:hAnsi="Arial" w:cs="Arial"/>
          <w:sz w:val="16"/>
          <w:szCs w:val="16"/>
        </w:rPr>
        <w:t>4</w:t>
      </w:r>
      <w:r>
        <w:rPr>
          <w:rFonts w:ascii="Arial" w:hAnsi="Arial" w:cs="Arial"/>
          <w:sz w:val="16"/>
          <w:szCs w:val="16"/>
        </w:rPr>
        <w:t>-0</w:t>
      </w:r>
      <w:r w:rsidR="005F13BC">
        <w:rPr>
          <w:rFonts w:ascii="Arial" w:hAnsi="Arial" w:cs="Arial"/>
          <w:sz w:val="16"/>
          <w:szCs w:val="16"/>
        </w:rPr>
        <w:t>4</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291AB7">
        <w:rPr>
          <w:rFonts w:ascii="Arial" w:hAnsi="Arial" w:cs="Arial"/>
          <w:sz w:val="20"/>
          <w:szCs w:val="20"/>
        </w:rPr>
        <w:t>sheets</w:t>
      </w:r>
      <w:r w:rsidR="00B64D98">
        <w:rPr>
          <w:rFonts w:ascii="Arial" w:hAnsi="Arial" w:cs="Arial"/>
          <w:sz w:val="20"/>
          <w:szCs w:val="20"/>
        </w:rPr>
        <w:t xml:space="preserve">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108" w:type="dxa"/>
        <w:tblLook w:val="01E0"/>
      </w:tblPr>
      <w:tblGrid>
        <w:gridCol w:w="3036"/>
        <w:gridCol w:w="3036"/>
        <w:gridCol w:w="3036"/>
      </w:tblGrid>
      <w:tr w:rsidR="003C1BA6" w:rsidRPr="00C33B81" w:rsidTr="003C1BA6">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036"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tc>
          <w:tcPr>
            <w:tcW w:w="3036" w:type="dxa"/>
          </w:tcPr>
          <w:p w:rsidR="003C1BA6" w:rsidRPr="00C33B81" w:rsidRDefault="00C34309" w:rsidP="00291AB7">
            <w:pPr>
              <w:pStyle w:val="NoSpacing"/>
              <w:spacing w:line="240" w:lineRule="exact"/>
              <w:rPr>
                <w:rFonts w:ascii="Arial" w:hAnsi="Arial" w:cs="Arial"/>
                <w:sz w:val="20"/>
                <w:szCs w:val="20"/>
              </w:rPr>
            </w:pPr>
            <w:r>
              <w:rPr>
                <w:rFonts w:ascii="Arial" w:hAnsi="Arial" w:cs="Arial"/>
                <w:sz w:val="20"/>
                <w:szCs w:val="20"/>
              </w:rPr>
              <w:t>10</w:t>
            </w:r>
            <w:r w:rsidR="00291AB7">
              <w:rPr>
                <w:rFonts w:ascii="Arial" w:hAnsi="Arial" w:cs="Arial"/>
                <w:sz w:val="20"/>
                <w:szCs w:val="20"/>
              </w:rPr>
              <w:t>th</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152</w:t>
            </w: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C34309" w:rsidP="00C34309">
            <w:pPr>
              <w:pStyle w:val="NoSpacing"/>
              <w:spacing w:line="240" w:lineRule="exact"/>
              <w:rPr>
                <w:rFonts w:ascii="Arial" w:hAnsi="Arial" w:cs="Arial"/>
                <w:sz w:val="20"/>
                <w:szCs w:val="20"/>
              </w:rPr>
            </w:pPr>
            <w:r>
              <w:rPr>
                <w:rFonts w:ascii="Arial" w:hAnsi="Arial" w:cs="Arial"/>
                <w:sz w:val="20"/>
                <w:szCs w:val="20"/>
              </w:rPr>
              <w:t>2nd</w:t>
            </w:r>
            <w:r w:rsidR="002B571F">
              <w:rPr>
                <w:rFonts w:ascii="Arial" w:hAnsi="Arial" w:cs="Arial"/>
                <w:sz w:val="20"/>
                <w:szCs w:val="20"/>
              </w:rPr>
              <w:t xml:space="preserve"> Revised </w:t>
            </w:r>
            <w:r w:rsidR="00291AB7">
              <w:rPr>
                <w:rFonts w:ascii="Arial" w:hAnsi="Arial" w:cs="Arial"/>
                <w:sz w:val="20"/>
                <w:szCs w:val="20"/>
              </w:rPr>
              <w:t>Sheet</w:t>
            </w:r>
            <w:r w:rsidR="002B571F">
              <w:rPr>
                <w:rFonts w:ascii="Arial" w:hAnsi="Arial" w:cs="Arial"/>
                <w:sz w:val="20"/>
                <w:szCs w:val="20"/>
              </w:rPr>
              <w:t xml:space="preserve"> </w:t>
            </w:r>
            <w:r w:rsidR="00291AB7">
              <w:rPr>
                <w:rFonts w:ascii="Arial" w:hAnsi="Arial" w:cs="Arial"/>
                <w:sz w:val="20"/>
                <w:szCs w:val="20"/>
              </w:rPr>
              <w:t>338</w:t>
            </w: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964E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jc w:val="center"/>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C34309" w:rsidRDefault="00C34309">
      <w:r>
        <w:br w:type="page"/>
      </w:r>
    </w:p>
    <w:tbl>
      <w:tblPr>
        <w:tblW w:w="9108" w:type="dxa"/>
        <w:tblLook w:val="01E0"/>
      </w:tblPr>
      <w:tblGrid>
        <w:gridCol w:w="3036"/>
        <w:gridCol w:w="3036"/>
        <w:gridCol w:w="3036"/>
      </w:tblGrid>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F04A9E" w:rsidRPr="00C33B81" w:rsidRDefault="00F04A9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t>Attachment B</w:t>
            </w: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3E0D94" w:rsidRDefault="003C1BA6" w:rsidP="003E0D94">
            <w:pPr>
              <w:jc w:val="center"/>
              <w:rPr>
                <w:rFonts w:ascii="Arial" w:hAnsi="Arial" w:cs="Arial"/>
                <w:b/>
              </w:rPr>
            </w:pPr>
            <w:r>
              <w:rPr>
                <w:rFonts w:ascii="Arial" w:hAnsi="Arial" w:cs="Arial"/>
                <w:b/>
              </w:rPr>
              <w:t xml:space="preserve">Spectra Communications Group LLC                   </w:t>
            </w:r>
            <w:r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28066D" w:rsidRPr="00FD6837" w:rsidRDefault="0028066D" w:rsidP="0028066D">
      <w:pPr>
        <w:ind w:left="360"/>
        <w:rPr>
          <w:rFonts w:cs="Arial"/>
          <w:sz w:val="20"/>
        </w:rPr>
      </w:pPr>
      <w:r w:rsidRPr="00FD6837">
        <w:rPr>
          <w:rFonts w:cs="Arial"/>
          <w:sz w:val="20"/>
        </w:rPr>
        <w:t xml:space="preserve">The following narrative describes the methodology and supporting calculations utilized by CenturyLink to implement the process of reducing terminating switched end office rates by one-third of the differential between end office rates and $0.0007 as required by 47 C.F.R. §51.907(d) which addresses changes beginning July 2014.  </w:t>
      </w:r>
      <w:proofErr w:type="spellStart"/>
      <w:r w:rsidRPr="00FD6837">
        <w:rPr>
          <w:rFonts w:cs="Arial"/>
          <w:sz w:val="20"/>
        </w:rPr>
        <w:t>CenturyLink’s</w:t>
      </w:r>
      <w:proofErr w:type="spellEnd"/>
      <w:r w:rsidRPr="00FD6837">
        <w:rPr>
          <w:rFonts w:cs="Arial"/>
          <w:sz w:val="20"/>
        </w:rPr>
        <w:t xml:space="preserve"> supporting calculations utilize the “Access Reduction Spreadsheet” template released by the Federal Communications Commission (“FCC”) on April 14,</w:t>
      </w:r>
      <w:r w:rsidRPr="00FD6837">
        <w:rPr>
          <w:rFonts w:cs="Arial"/>
          <w:sz w:val="20"/>
          <w:vertAlign w:val="superscript"/>
        </w:rPr>
        <w:t xml:space="preserve"> </w:t>
      </w:r>
      <w:r w:rsidRPr="00FD6837">
        <w:rPr>
          <w:rFonts w:cs="Arial"/>
          <w:sz w:val="20"/>
        </w:rPr>
        <w:t xml:space="preserve">2014, for calculating the July 1, 2014 intrastate access rate changes. </w:t>
      </w:r>
    </w:p>
    <w:p w:rsidR="0028066D" w:rsidRPr="00FD6837" w:rsidRDefault="0028066D" w:rsidP="0028066D">
      <w:pPr>
        <w:ind w:left="360"/>
        <w:rPr>
          <w:rFonts w:cs="Arial"/>
          <w:sz w:val="20"/>
        </w:rPr>
      </w:pPr>
      <w:r w:rsidRPr="00FD6837">
        <w:rPr>
          <w:rFonts w:cs="Arial"/>
          <w:sz w:val="20"/>
        </w:rPr>
        <w:t xml:space="preserve">  The FCC spreadsheet template also provides the methodology for calculating the rate changes and identifies in detail the intrastate access rates that are required to be changed consistent with the rules. Step 3 of the USF ICC Transformation Order adjusts Interstate Terminating End Office Access rates down by one-third of the difference between the baseline composite rate and the target composite rate of $0.0007.  The terminating interstate rates will then be mirrored on the intrastate side so that rates will remain in parity.</w:t>
      </w:r>
    </w:p>
    <w:p w:rsidR="0028066D" w:rsidRPr="00FD6837" w:rsidRDefault="0028066D" w:rsidP="0028066D">
      <w:pPr>
        <w:ind w:left="360"/>
        <w:rPr>
          <w:rFonts w:cs="Arial"/>
          <w:sz w:val="20"/>
        </w:rPr>
      </w:pPr>
      <w:r w:rsidRPr="00FD6837">
        <w:rPr>
          <w:rFonts w:cs="Arial"/>
          <w:sz w:val="20"/>
        </w:rPr>
        <w:t>Section 51.907(d) of the FCC Rules requires the Access Reduction Spreadsheet to be modified to reflect rate reductions for July 1, 2014. 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below calculations are done at the regional level and the regional rates are mirrored in each study area</w:t>
      </w:r>
      <w:r w:rsidRPr="00FD6837">
        <w:rPr>
          <w:rStyle w:val="FootnoteReference"/>
          <w:rFonts w:cs="Arial"/>
          <w:sz w:val="20"/>
        </w:rPr>
        <w:footnoteReference w:id="1"/>
      </w:r>
      <w:r w:rsidRPr="00FD6837">
        <w:rPr>
          <w:rFonts w:cs="Arial"/>
          <w:sz w:val="20"/>
        </w:rPr>
        <w:t>.  For individual study areas, the below calculations are done at the study area level.  An overview of the calculations necessary for reducing terminating end office access rates is as follows:</w:t>
      </w:r>
    </w:p>
    <w:p w:rsidR="0028066D" w:rsidRPr="00FD6837" w:rsidRDefault="0028066D" w:rsidP="0028066D">
      <w:pPr>
        <w:numPr>
          <w:ilvl w:val="1"/>
          <w:numId w:val="1"/>
        </w:numPr>
        <w:spacing w:after="0" w:line="150" w:lineRule="atLeast"/>
        <w:jc w:val="both"/>
        <w:rPr>
          <w:rFonts w:cs="Arial"/>
          <w:sz w:val="20"/>
        </w:rPr>
      </w:pPr>
      <w:r>
        <w:rPr>
          <w:rFonts w:cs="Arial"/>
          <w:sz w:val="20"/>
        </w:rPr>
        <w:t>E</w:t>
      </w:r>
      <w:r w:rsidRPr="00FD6837">
        <w:rPr>
          <w:rFonts w:cs="Arial"/>
          <w:sz w:val="20"/>
        </w:rPr>
        <w:t>stablish the 2011 Baseline Composite Terminating End Office Access Rates, which reflects interstate rates and demand. (Worksheet Cell J4)</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Calculate the 2014 Target Composite Terminating End Office Access Rate by reducing the 2011 Baseline Composite Terminating End Office Access Rate by one-third of the difference between the 2011 Baseline Composite terminating End Office Access Rate and $0.0007.  (Worksheet J5)</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Adjust Interstate terminating End Office Access rates down to where the interstate Composite Terminating End Office access rate is at or below the Target composite Terminating End Office Access rate.  (Worksheet Cell J6)</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Set Intrastate terminating End Office Access rates equal to their functionally equivalent interstate rates.</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Prepare intrastate and interstate tariff filing documents as required by each tariff jurisdiction.</w:t>
      </w:r>
    </w:p>
    <w:p w:rsidR="0028066D" w:rsidRDefault="0028066D" w:rsidP="0028066D">
      <w:pPr>
        <w:rPr>
          <w:rFonts w:cs="Arial"/>
          <w:sz w:val="20"/>
        </w:rPr>
      </w:pPr>
    </w:p>
    <w:p w:rsidR="0028066D" w:rsidRDefault="0028066D" w:rsidP="0028066D">
      <w:pPr>
        <w:rPr>
          <w:rFonts w:cs="Arial"/>
          <w:sz w:val="20"/>
        </w:rPr>
      </w:pPr>
      <w:r w:rsidRPr="00FD6837">
        <w:rPr>
          <w:rFonts w:cs="Arial"/>
          <w:sz w:val="20"/>
        </w:rPr>
        <w:t xml:space="preserve">The FCC’s Order also directed that the </w:t>
      </w:r>
      <w:r>
        <w:rPr>
          <w:rFonts w:cs="Arial"/>
          <w:sz w:val="20"/>
        </w:rPr>
        <w:t xml:space="preserve">End Office Dedicated Trunk </w:t>
      </w:r>
      <w:r w:rsidRPr="00FD6837">
        <w:rPr>
          <w:rFonts w:cs="Arial"/>
          <w:sz w:val="20"/>
        </w:rPr>
        <w:t xml:space="preserve">port charges be split between originating and terminating and that only the terminating portion of the charge be phased down with </w:t>
      </w:r>
      <w:r>
        <w:rPr>
          <w:rFonts w:cs="Arial"/>
          <w:sz w:val="20"/>
        </w:rPr>
        <w:t xml:space="preserve">the transition to bill &amp; keep. CenturyLink has reflected this split in the FCC ICC “Access Reduction Spreadsheet” along with adding a footnote on our tariff page explaining the 50/50 methodology that CenturyLink used to split the rate. We have also shown the frozen Originating portion of the rate that can be subtracted from the blended rate to derive the resulting terminating portion of the charge.  </w:t>
      </w:r>
    </w:p>
    <w:sectPr w:rsidR="0028066D"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1E9" w:rsidRDefault="009C31E9" w:rsidP="007649B5">
      <w:pPr>
        <w:spacing w:after="0" w:line="240" w:lineRule="auto"/>
      </w:pPr>
      <w:r>
        <w:separator/>
      </w:r>
    </w:p>
  </w:endnote>
  <w:endnote w:type="continuationSeparator" w:id="0">
    <w:p w:rsidR="009C31E9" w:rsidRDefault="009C31E9"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1E9" w:rsidRDefault="009C31E9" w:rsidP="007649B5">
      <w:pPr>
        <w:spacing w:after="0" w:line="240" w:lineRule="auto"/>
      </w:pPr>
      <w:r>
        <w:separator/>
      </w:r>
    </w:p>
  </w:footnote>
  <w:footnote w:type="continuationSeparator" w:id="0">
    <w:p w:rsidR="009C31E9" w:rsidRDefault="009C31E9" w:rsidP="007649B5">
      <w:pPr>
        <w:spacing w:after="0" w:line="240" w:lineRule="auto"/>
      </w:pPr>
      <w:r>
        <w:continuationSeparator/>
      </w:r>
    </w:p>
  </w:footnote>
  <w:footnote w:id="1">
    <w:p w:rsidR="009C31E9" w:rsidRDefault="009C31E9" w:rsidP="0028066D">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3313"/>
  </w:hdrShapeDefaults>
  <w:footnotePr>
    <w:footnote w:id="-1"/>
    <w:footnote w:id="0"/>
  </w:footnotePr>
  <w:endnotePr>
    <w:endnote w:id="-1"/>
    <w:endnote w:id="0"/>
  </w:endnotePr>
  <w:compat/>
  <w:rsids>
    <w:rsidRoot w:val="001D51DC"/>
    <w:rsid w:val="000023DF"/>
    <w:rsid w:val="00010466"/>
    <w:rsid w:val="0004232F"/>
    <w:rsid w:val="0005710E"/>
    <w:rsid w:val="000928B2"/>
    <w:rsid w:val="000A0C31"/>
    <w:rsid w:val="000A56D5"/>
    <w:rsid w:val="000B471A"/>
    <w:rsid w:val="0011418F"/>
    <w:rsid w:val="00123F0D"/>
    <w:rsid w:val="00132B41"/>
    <w:rsid w:val="0016665E"/>
    <w:rsid w:val="001B57B8"/>
    <w:rsid w:val="001D51DC"/>
    <w:rsid w:val="002303FD"/>
    <w:rsid w:val="0025321E"/>
    <w:rsid w:val="002650DC"/>
    <w:rsid w:val="0026577E"/>
    <w:rsid w:val="0028066D"/>
    <w:rsid w:val="00291AB7"/>
    <w:rsid w:val="002A2AA3"/>
    <w:rsid w:val="002B571F"/>
    <w:rsid w:val="002D40A4"/>
    <w:rsid w:val="00306303"/>
    <w:rsid w:val="00307AEE"/>
    <w:rsid w:val="00346CD5"/>
    <w:rsid w:val="003502B6"/>
    <w:rsid w:val="00394E73"/>
    <w:rsid w:val="003974FC"/>
    <w:rsid w:val="003A0A11"/>
    <w:rsid w:val="003A6D21"/>
    <w:rsid w:val="003C1BA6"/>
    <w:rsid w:val="003D7C83"/>
    <w:rsid w:val="003E0D94"/>
    <w:rsid w:val="003F0577"/>
    <w:rsid w:val="003F4848"/>
    <w:rsid w:val="004158E6"/>
    <w:rsid w:val="00442DAD"/>
    <w:rsid w:val="0044798D"/>
    <w:rsid w:val="00457F8C"/>
    <w:rsid w:val="00481801"/>
    <w:rsid w:val="00484D09"/>
    <w:rsid w:val="004A2447"/>
    <w:rsid w:val="004D1B18"/>
    <w:rsid w:val="004D51C8"/>
    <w:rsid w:val="00507B84"/>
    <w:rsid w:val="00557902"/>
    <w:rsid w:val="005F08A7"/>
    <w:rsid w:val="005F0F59"/>
    <w:rsid w:val="005F13BC"/>
    <w:rsid w:val="005F3F53"/>
    <w:rsid w:val="005F6F54"/>
    <w:rsid w:val="006457A6"/>
    <w:rsid w:val="00697223"/>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91B3F"/>
    <w:rsid w:val="009B3FCB"/>
    <w:rsid w:val="009C30DB"/>
    <w:rsid w:val="009C31E9"/>
    <w:rsid w:val="00A14AF4"/>
    <w:rsid w:val="00A22F4B"/>
    <w:rsid w:val="00A40306"/>
    <w:rsid w:val="00A423E3"/>
    <w:rsid w:val="00A571C7"/>
    <w:rsid w:val="00B14AC4"/>
    <w:rsid w:val="00B159F4"/>
    <w:rsid w:val="00B63357"/>
    <w:rsid w:val="00B64D98"/>
    <w:rsid w:val="00B67327"/>
    <w:rsid w:val="00B86E2C"/>
    <w:rsid w:val="00B9791C"/>
    <w:rsid w:val="00BB28B4"/>
    <w:rsid w:val="00C302AC"/>
    <w:rsid w:val="00C33B81"/>
    <w:rsid w:val="00C34309"/>
    <w:rsid w:val="00C35AFD"/>
    <w:rsid w:val="00C50567"/>
    <w:rsid w:val="00C964E7"/>
    <w:rsid w:val="00CA7596"/>
    <w:rsid w:val="00D1610C"/>
    <w:rsid w:val="00D47AE2"/>
    <w:rsid w:val="00D54F08"/>
    <w:rsid w:val="00DB3659"/>
    <w:rsid w:val="00DB7BF3"/>
    <w:rsid w:val="00DD6E23"/>
    <w:rsid w:val="00E01FF0"/>
    <w:rsid w:val="00E229BF"/>
    <w:rsid w:val="00E576E1"/>
    <w:rsid w:val="00E873AA"/>
    <w:rsid w:val="00E93CC1"/>
    <w:rsid w:val="00EA3C61"/>
    <w:rsid w:val="00EA6272"/>
    <w:rsid w:val="00EC4116"/>
    <w:rsid w:val="00ED512D"/>
    <w:rsid w:val="00F04A9E"/>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4AEC1-5A02-40AA-96C9-A9161F70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2</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Sally Carr</cp:lastModifiedBy>
  <cp:revision>2</cp:revision>
  <cp:lastPrinted>2014-04-25T17:44:00Z</cp:lastPrinted>
  <dcterms:created xsi:type="dcterms:W3CDTF">2014-06-11T19:53:00Z</dcterms:created>
  <dcterms:modified xsi:type="dcterms:W3CDTF">2014-06-11T19:53:00Z</dcterms:modified>
</cp:coreProperties>
</file>